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EC76C8" w14:textId="0C8F49C8" w:rsidR="002C4F57" w:rsidRPr="0007631D" w:rsidRDefault="002C4F57" w:rsidP="002C4F57">
      <w:pPr>
        <w:tabs>
          <w:tab w:val="right" w:pos="10000"/>
        </w:tabs>
        <w:spacing w:after="0"/>
        <w:rPr>
          <w:b/>
          <w:sz w:val="24"/>
          <w:szCs w:val="24"/>
        </w:rPr>
      </w:pPr>
      <w:bookmarkStart w:id="0" w:name="_GoBack"/>
      <w:bookmarkEnd w:id="0"/>
      <w:r w:rsidRPr="0007631D">
        <w:rPr>
          <w:b/>
          <w:sz w:val="24"/>
          <w:szCs w:val="24"/>
        </w:rPr>
        <w:t xml:space="preserve">3GPP TSG-RAN WG1 </w:t>
      </w:r>
      <w:r>
        <w:rPr>
          <w:b/>
          <w:sz w:val="24"/>
          <w:szCs w:val="24"/>
        </w:rPr>
        <w:t>#9</w:t>
      </w:r>
      <w:r w:rsidR="00C068C3">
        <w:rPr>
          <w:b/>
          <w:sz w:val="24"/>
          <w:szCs w:val="24"/>
        </w:rPr>
        <w:t>9</w:t>
      </w:r>
      <w:r w:rsidRPr="0007631D">
        <w:rPr>
          <w:b/>
          <w:sz w:val="24"/>
          <w:szCs w:val="24"/>
        </w:rPr>
        <w:tab/>
        <w:t>R1-</w:t>
      </w:r>
      <w:r>
        <w:rPr>
          <w:b/>
          <w:sz w:val="24"/>
          <w:szCs w:val="24"/>
        </w:rPr>
        <w:t>19</w:t>
      </w:r>
      <w:r w:rsidR="000830B9">
        <w:rPr>
          <w:b/>
          <w:sz w:val="24"/>
          <w:szCs w:val="24"/>
        </w:rPr>
        <w:t>12959</w:t>
      </w:r>
    </w:p>
    <w:p w14:paraId="34959586" w14:textId="77777777" w:rsidR="002C4F57" w:rsidRPr="0007631D" w:rsidRDefault="002C4F57" w:rsidP="002C4F57">
      <w:pPr>
        <w:tabs>
          <w:tab w:val="center" w:pos="4536"/>
          <w:tab w:val="right" w:pos="9072"/>
        </w:tabs>
        <w:spacing w:after="0"/>
        <w:jc w:val="both"/>
        <w:rPr>
          <w:rFonts w:eastAsia="MS Mincho"/>
          <w:b/>
          <w:bCs/>
          <w:sz w:val="24"/>
          <w:szCs w:val="24"/>
          <w:lang w:eastAsia="ja-JP"/>
        </w:rPr>
      </w:pPr>
      <w:r>
        <w:rPr>
          <w:b/>
          <w:bCs/>
          <w:sz w:val="24"/>
          <w:szCs w:val="24"/>
        </w:rPr>
        <w:t>November</w:t>
      </w:r>
      <w:r w:rsidRPr="0007631D">
        <w:rPr>
          <w:b/>
          <w:bCs/>
          <w:sz w:val="24"/>
          <w:szCs w:val="24"/>
        </w:rPr>
        <w:t xml:space="preserve"> </w:t>
      </w:r>
      <w:r>
        <w:rPr>
          <w:b/>
          <w:bCs/>
          <w:sz w:val="24"/>
          <w:szCs w:val="24"/>
        </w:rPr>
        <w:t>18</w:t>
      </w:r>
      <w:r>
        <w:rPr>
          <w:b/>
          <w:bCs/>
          <w:sz w:val="24"/>
          <w:szCs w:val="24"/>
          <w:vertAlign w:val="superscript"/>
        </w:rPr>
        <w:t>th</w:t>
      </w:r>
      <w:r>
        <w:rPr>
          <w:b/>
          <w:bCs/>
          <w:sz w:val="24"/>
          <w:szCs w:val="24"/>
        </w:rPr>
        <w:t xml:space="preserve"> – 22</w:t>
      </w:r>
      <w:r w:rsidRPr="00724331">
        <w:rPr>
          <w:b/>
          <w:bCs/>
          <w:sz w:val="24"/>
          <w:szCs w:val="24"/>
          <w:vertAlign w:val="superscript"/>
        </w:rPr>
        <w:t>th</w:t>
      </w:r>
      <w:r w:rsidRPr="0007631D">
        <w:rPr>
          <w:b/>
          <w:bCs/>
          <w:sz w:val="24"/>
          <w:szCs w:val="24"/>
        </w:rPr>
        <w:t>, 201</w:t>
      </w:r>
      <w:r>
        <w:rPr>
          <w:rFonts w:eastAsia="MS Mincho"/>
          <w:b/>
          <w:bCs/>
          <w:sz w:val="24"/>
          <w:szCs w:val="24"/>
          <w:lang w:eastAsia="ja-JP"/>
        </w:rPr>
        <w:t>9</w:t>
      </w:r>
    </w:p>
    <w:p w14:paraId="6995F85D" w14:textId="77777777" w:rsidR="002C4F57" w:rsidRPr="0007631D" w:rsidRDefault="002C4F57" w:rsidP="002C4F57">
      <w:pPr>
        <w:spacing w:after="0"/>
        <w:jc w:val="both"/>
        <w:rPr>
          <w:b/>
          <w:sz w:val="24"/>
          <w:szCs w:val="24"/>
          <w:lang w:eastAsia="zh-CN"/>
        </w:rPr>
      </w:pPr>
      <w:r>
        <w:rPr>
          <w:b/>
          <w:sz w:val="24"/>
          <w:szCs w:val="24"/>
        </w:rPr>
        <w:t xml:space="preserve">Reno, Nevada, USA </w:t>
      </w:r>
    </w:p>
    <w:p w14:paraId="5F118842" w14:textId="77777777" w:rsidR="002C4F57" w:rsidRDefault="002C4F57" w:rsidP="00F15C93">
      <w:pPr>
        <w:tabs>
          <w:tab w:val="left" w:pos="1985"/>
        </w:tabs>
        <w:jc w:val="both"/>
        <w:rPr>
          <w:b/>
          <w:sz w:val="24"/>
        </w:rPr>
      </w:pPr>
    </w:p>
    <w:p w14:paraId="358C9AA6" w14:textId="2DBDA28B"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A2374F">
        <w:rPr>
          <w:b/>
          <w:sz w:val="24"/>
        </w:rPr>
        <w:t>7.2.6.</w:t>
      </w:r>
      <w:r w:rsidR="00C237B8">
        <w:rPr>
          <w:b/>
          <w:sz w:val="24"/>
        </w:rPr>
        <w:t>1</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334C6E7B"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C237B8">
        <w:rPr>
          <w:sz w:val="24"/>
        </w:rPr>
        <w:t>PDCCH Enhancements</w:t>
      </w:r>
      <w:r w:rsidR="005925C1">
        <w:rPr>
          <w:sz w:val="24"/>
        </w:rPr>
        <w:t xml:space="preserve"> for </w:t>
      </w:r>
      <w:r w:rsidR="000962B0">
        <w:rPr>
          <w:sz w:val="24"/>
        </w:rPr>
        <w:t>e</w:t>
      </w:r>
      <w:r w:rsidR="005925C1">
        <w:rPr>
          <w:sz w:val="24"/>
        </w:rPr>
        <w:t>URLLC</w:t>
      </w:r>
    </w:p>
    <w:p w14:paraId="079CB434" w14:textId="63FB260A"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FC78A27" w14:textId="46BC1985" w:rsidR="00181729" w:rsidRPr="00487EB7" w:rsidRDefault="00181729" w:rsidP="00487EB7">
      <w:pPr>
        <w:tabs>
          <w:tab w:val="num" w:pos="2160"/>
          <w:tab w:val="num" w:pos="2880"/>
        </w:tabs>
        <w:jc w:val="both"/>
        <w:rPr>
          <w:rFonts w:asciiTheme="majorBidi" w:hAnsiTheme="majorBidi" w:cstheme="majorBidi"/>
          <w:bCs/>
          <w:iCs/>
        </w:rPr>
      </w:pPr>
      <w:r w:rsidRPr="00487EB7">
        <w:rPr>
          <w:rFonts w:asciiTheme="majorBidi" w:hAnsiTheme="majorBidi" w:cstheme="majorBidi"/>
          <w:bCs/>
          <w:iCs/>
        </w:rPr>
        <w:t>In RANP #83, a new work item on physical layer enhancements for NR URLLC is approved [1]. One of the objectives of this work item is to enhance the PDCCH design for URLLC as follows:</w:t>
      </w:r>
    </w:p>
    <w:p w14:paraId="1E341484" w14:textId="77777777" w:rsidR="00181729" w:rsidRPr="00487EB7" w:rsidRDefault="00181729" w:rsidP="00487EB7">
      <w:pPr>
        <w:numPr>
          <w:ilvl w:val="0"/>
          <w:numId w:val="5"/>
        </w:numPr>
        <w:tabs>
          <w:tab w:val="num" w:pos="709"/>
        </w:tabs>
        <w:spacing w:after="0"/>
        <w:jc w:val="both"/>
        <w:rPr>
          <w:bCs/>
          <w:i/>
        </w:rPr>
      </w:pPr>
      <w:r w:rsidRPr="00487EB7">
        <w:rPr>
          <w:bCs/>
          <w:i/>
        </w:rPr>
        <w:t>Specification of PDCCH enhancements [RAN1]</w:t>
      </w:r>
    </w:p>
    <w:p w14:paraId="4F03D05D" w14:textId="77777777" w:rsidR="00181729" w:rsidRPr="00487EB7" w:rsidRDefault="00181729" w:rsidP="00487EB7">
      <w:pPr>
        <w:numPr>
          <w:ilvl w:val="1"/>
          <w:numId w:val="5"/>
        </w:numPr>
        <w:spacing w:after="0"/>
        <w:jc w:val="both"/>
        <w:rPr>
          <w:bCs/>
          <w:i/>
        </w:rPr>
      </w:pPr>
      <w:r w:rsidRPr="00487EB7">
        <w:rPr>
          <w:i/>
          <w:lang w:eastAsia="zh-CN"/>
        </w:rPr>
        <w:t xml:space="preserve">DCI format(s) with configurable sizes for some fields, with a </w:t>
      </w:r>
      <w:r w:rsidRPr="00487EB7">
        <w:rPr>
          <w:i/>
          <w:color w:val="000000"/>
          <w:lang w:eastAsia="ja-JP"/>
        </w:rPr>
        <w:t>minimum DCI size targeting a reduction of 10~16 bits relative to Rel-15 DCI format 0_0/1_0 and a maximum DCI size that can be larger than Rel-15 DCI format 0_0/1_0, and provide the possibility to align with the size of the DCI format 0_0/1_0 (including possible zero padding if any)</w:t>
      </w:r>
      <w:r w:rsidRPr="00487EB7">
        <w:rPr>
          <w:bCs/>
          <w:i/>
        </w:rPr>
        <w:t xml:space="preserve"> </w:t>
      </w:r>
    </w:p>
    <w:p w14:paraId="605D5367" w14:textId="77777777" w:rsidR="00181729" w:rsidRPr="00487EB7" w:rsidRDefault="00181729" w:rsidP="00487EB7">
      <w:pPr>
        <w:numPr>
          <w:ilvl w:val="1"/>
          <w:numId w:val="5"/>
        </w:numPr>
        <w:spacing w:after="0"/>
        <w:jc w:val="both"/>
        <w:rPr>
          <w:bCs/>
          <w:i/>
        </w:rPr>
      </w:pPr>
      <w:r w:rsidRPr="00487EB7">
        <w:rPr>
          <w:i/>
          <w:lang w:eastAsia="zh-CN"/>
        </w:rPr>
        <w:t>Increased PDCCH monitoring capability on at least the maximum number of non-overlapped CCEs per slot for channel estimation for at least one SCS</w:t>
      </w:r>
      <w:r w:rsidRPr="00487EB7">
        <w:rPr>
          <w:bCs/>
          <w:i/>
          <w:lang w:eastAsia="zh-CN"/>
        </w:rPr>
        <w:t xml:space="preserve"> s</w:t>
      </w:r>
      <w:r w:rsidRPr="00487EB7">
        <w:rPr>
          <w:rFonts w:hint="eastAsia"/>
          <w:bCs/>
          <w:i/>
          <w:lang w:eastAsia="zh-CN"/>
        </w:rPr>
        <w:t>ubject to restrictions including, but not necessary limited to, those identified in TR 38.824</w:t>
      </w:r>
      <w:r w:rsidRPr="00487EB7">
        <w:rPr>
          <w:bCs/>
          <w:i/>
          <w:lang w:eastAsia="zh-CN"/>
        </w:rPr>
        <w:t xml:space="preserve">. Enhancements for PDCCH monitoring capability </w:t>
      </w:r>
      <w:r w:rsidRPr="00487EB7">
        <w:rPr>
          <w:i/>
          <w:kern w:val="2"/>
          <w:lang w:eastAsia="zh-CN"/>
        </w:rPr>
        <w:t>on the maximum number of monitored PDCCH candidates per slot (with potential restrictions) can be further considered.</w:t>
      </w:r>
    </w:p>
    <w:p w14:paraId="250FDD06" w14:textId="77777777" w:rsidR="00181729" w:rsidRPr="00487EB7" w:rsidRDefault="00181729" w:rsidP="00487EB7">
      <w:pPr>
        <w:tabs>
          <w:tab w:val="num" w:pos="2160"/>
          <w:tab w:val="num" w:pos="2880"/>
        </w:tabs>
        <w:jc w:val="both"/>
        <w:rPr>
          <w:rFonts w:asciiTheme="majorBidi" w:hAnsiTheme="majorBidi" w:cstheme="majorBidi"/>
          <w:bCs/>
          <w:iCs/>
        </w:rPr>
      </w:pPr>
    </w:p>
    <w:p w14:paraId="2BD67A3E" w14:textId="1863A423" w:rsidR="00181729" w:rsidRPr="00487EB7" w:rsidRDefault="00181729" w:rsidP="00487EB7">
      <w:pPr>
        <w:tabs>
          <w:tab w:val="num" w:pos="2160"/>
          <w:tab w:val="num" w:pos="2880"/>
        </w:tabs>
        <w:jc w:val="both"/>
        <w:rPr>
          <w:rFonts w:asciiTheme="majorBidi" w:hAnsiTheme="majorBidi" w:cstheme="majorBidi"/>
          <w:bCs/>
          <w:iCs/>
        </w:rPr>
      </w:pPr>
      <w:r w:rsidRPr="00487EB7">
        <w:rPr>
          <w:rFonts w:asciiTheme="majorBidi" w:hAnsiTheme="majorBidi" w:cstheme="majorBidi"/>
          <w:bCs/>
          <w:iCs/>
        </w:rPr>
        <w:t>Regarding the abovementioned enhancements, during the SI phase, RAN1 reached the following agreements</w:t>
      </w:r>
      <w:r w:rsidR="00DE2A52" w:rsidRPr="00487EB7">
        <w:rPr>
          <w:rFonts w:asciiTheme="majorBidi" w:hAnsiTheme="majorBidi" w:cstheme="majorBidi"/>
          <w:bCs/>
          <w:iCs/>
        </w:rPr>
        <w:t xml:space="preserve"> in meeting AH1901 and 96</w:t>
      </w:r>
      <w:r w:rsidRPr="00487EB7">
        <w:rPr>
          <w:rFonts w:asciiTheme="majorBidi" w:hAnsiTheme="majorBidi" w:cstheme="majorBidi"/>
          <w:bCs/>
          <w:iCs/>
        </w:rPr>
        <w:t>:</w:t>
      </w:r>
    </w:p>
    <w:p w14:paraId="70143B18" w14:textId="77777777" w:rsidR="00A87B18" w:rsidRPr="00487EB7" w:rsidRDefault="00FD441E" w:rsidP="00487EB7">
      <w:pPr>
        <w:tabs>
          <w:tab w:val="num" w:pos="2160"/>
          <w:tab w:val="num" w:pos="2880"/>
        </w:tabs>
        <w:jc w:val="both"/>
        <w:rPr>
          <w:rFonts w:asciiTheme="majorBidi" w:hAnsiTheme="majorBidi" w:cstheme="majorBidi"/>
          <w:b/>
          <w:bCs/>
          <w:iCs/>
          <w:u w:val="single"/>
        </w:rPr>
      </w:pPr>
      <w:r w:rsidRPr="00487EB7">
        <w:rPr>
          <w:rFonts w:asciiTheme="majorBidi" w:hAnsiTheme="majorBidi" w:cstheme="majorBidi"/>
          <w:b/>
          <w:bCs/>
          <w:iCs/>
          <w:highlight w:val="green"/>
          <w:u w:val="single"/>
          <w:lang w:val="en-GB"/>
        </w:rPr>
        <w:t>Agreements:</w:t>
      </w:r>
    </w:p>
    <w:p w14:paraId="532C05BF" w14:textId="2A2CFD14" w:rsidR="00A87B18" w:rsidRPr="00487EB7" w:rsidRDefault="00FD441E" w:rsidP="00D14C02">
      <w:pPr>
        <w:numPr>
          <w:ilvl w:val="0"/>
          <w:numId w:val="8"/>
        </w:numPr>
        <w:tabs>
          <w:tab w:val="num" w:pos="2160"/>
          <w:tab w:val="num" w:pos="2880"/>
        </w:tabs>
        <w:jc w:val="both"/>
        <w:rPr>
          <w:rFonts w:asciiTheme="majorBidi" w:hAnsiTheme="majorBidi" w:cstheme="majorBidi"/>
          <w:bCs/>
          <w:i/>
          <w:iCs/>
        </w:rPr>
      </w:pPr>
      <w:r w:rsidRPr="00487EB7">
        <w:rPr>
          <w:rFonts w:asciiTheme="majorBidi" w:hAnsiTheme="majorBidi" w:cstheme="majorBidi"/>
          <w:bCs/>
          <w:i/>
          <w:iCs/>
          <w:lang w:val="en-GB"/>
        </w:rPr>
        <w:t>For the DCI format scheduling Rel-16 NR URLLC</w:t>
      </w:r>
      <w:r w:rsidR="00DE2A52" w:rsidRPr="00487EB7">
        <w:rPr>
          <w:rFonts w:asciiTheme="majorBidi" w:hAnsiTheme="majorBidi" w:cstheme="majorBidi"/>
          <w:bCs/>
          <w:i/>
          <w:iCs/>
          <w:lang w:val="en-GB"/>
        </w:rPr>
        <w:t>:</w:t>
      </w:r>
    </w:p>
    <w:p w14:paraId="5AE55E4E" w14:textId="77777777" w:rsidR="00A87B18" w:rsidRPr="00487EB7" w:rsidRDefault="00FD441E" w:rsidP="00D14C02">
      <w:pPr>
        <w:numPr>
          <w:ilvl w:val="0"/>
          <w:numId w:val="9"/>
        </w:numPr>
        <w:tabs>
          <w:tab w:val="num" w:pos="2160"/>
          <w:tab w:val="num" w:pos="2880"/>
        </w:tabs>
        <w:jc w:val="both"/>
        <w:rPr>
          <w:rFonts w:asciiTheme="majorBidi" w:hAnsiTheme="majorBidi" w:cstheme="majorBidi"/>
          <w:bCs/>
          <w:i/>
          <w:iCs/>
        </w:rPr>
      </w:pPr>
      <w:r w:rsidRPr="00487EB7">
        <w:rPr>
          <w:rFonts w:asciiTheme="majorBidi" w:hAnsiTheme="majorBidi" w:cstheme="majorBidi"/>
          <w:bCs/>
          <w:i/>
          <w:iCs/>
          <w:lang w:val="en-GB"/>
        </w:rPr>
        <w:t xml:space="preserve">Support potential reduction of the number of bits for at least one of the following fields compared to Rel-15 DCI </w:t>
      </w:r>
    </w:p>
    <w:p w14:paraId="2C5FC216"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Frequency domain resource assignment</w:t>
      </w:r>
    </w:p>
    <w:p w14:paraId="70A5811C"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Time domain resource assignment</w:t>
      </w:r>
    </w:p>
    <w:p w14:paraId="1856F514"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Modulation and coding scheme</w:t>
      </w:r>
    </w:p>
    <w:p w14:paraId="5B04B4F0"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HARQ process number</w:t>
      </w:r>
    </w:p>
    <w:p w14:paraId="5E9E4FA0"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Redundancy version </w:t>
      </w:r>
    </w:p>
    <w:p w14:paraId="7A61914D"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PUCCH resource indicator</w:t>
      </w:r>
    </w:p>
    <w:p w14:paraId="0C10318F"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PDSCH-to-HARQ_feedback timing indicator</w:t>
      </w:r>
    </w:p>
    <w:p w14:paraId="6449F4B8"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Downlink assignment index</w:t>
      </w:r>
    </w:p>
    <w:p w14:paraId="043E1269" w14:textId="77777777" w:rsidR="00A87B18" w:rsidRPr="00487EB7" w:rsidRDefault="00FD441E" w:rsidP="00D14C02">
      <w:pPr>
        <w:pStyle w:val="ListParagraph"/>
        <w:numPr>
          <w:ilvl w:val="1"/>
          <w:numId w:val="11"/>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Note: Reduction of other fields are not precluded </w:t>
      </w:r>
    </w:p>
    <w:p w14:paraId="448D6F87" w14:textId="77777777" w:rsidR="00241DE4" w:rsidRDefault="00FD441E" w:rsidP="00D14C02">
      <w:pPr>
        <w:numPr>
          <w:ilvl w:val="0"/>
          <w:numId w:val="10"/>
        </w:numPr>
        <w:tabs>
          <w:tab w:val="num" w:pos="2160"/>
          <w:tab w:val="num" w:pos="2880"/>
        </w:tabs>
        <w:jc w:val="both"/>
        <w:rPr>
          <w:rFonts w:asciiTheme="majorBidi" w:hAnsiTheme="majorBidi" w:cstheme="majorBidi"/>
          <w:bCs/>
          <w:i/>
          <w:iCs/>
        </w:rPr>
      </w:pPr>
      <w:r w:rsidRPr="00487EB7">
        <w:rPr>
          <w:rFonts w:asciiTheme="majorBidi" w:hAnsiTheme="majorBidi" w:cstheme="majorBidi"/>
          <w:bCs/>
          <w:i/>
          <w:iCs/>
          <w:lang w:val="en-GB"/>
        </w:rPr>
        <w:t>Note: The DCI format may be impacted by other objectives in this study item and/or the following work item, e.g. PDCCH repetition mechanism and/or UCI enhancement, or may be impacted by objectives in other study item and/or work item, e.g. multi-TRP transmission from Rel-16 work item</w:t>
      </w:r>
      <w:r w:rsidR="00DE2A52" w:rsidRPr="00487EB7">
        <w:rPr>
          <w:rFonts w:asciiTheme="majorBidi" w:hAnsiTheme="majorBidi" w:cstheme="majorBidi"/>
          <w:bCs/>
          <w:i/>
          <w:iCs/>
          <w:lang w:val="en-GB"/>
        </w:rPr>
        <w:t>.</w:t>
      </w:r>
      <w:r w:rsidRPr="00487EB7">
        <w:rPr>
          <w:rFonts w:asciiTheme="majorBidi" w:hAnsiTheme="majorBidi" w:cstheme="majorBidi"/>
          <w:bCs/>
          <w:i/>
          <w:iCs/>
          <w:lang w:val="en-GB"/>
        </w:rPr>
        <w:t xml:space="preserve">  </w:t>
      </w:r>
    </w:p>
    <w:p w14:paraId="77E7E597" w14:textId="77777777" w:rsidR="00241DE4" w:rsidRDefault="00241DE4" w:rsidP="00241DE4">
      <w:pPr>
        <w:tabs>
          <w:tab w:val="num" w:pos="2160"/>
          <w:tab w:val="num" w:pos="2880"/>
        </w:tabs>
        <w:jc w:val="both"/>
        <w:rPr>
          <w:rFonts w:asciiTheme="majorBidi" w:hAnsiTheme="majorBidi" w:cstheme="majorBidi"/>
          <w:bCs/>
          <w:i/>
          <w:iCs/>
        </w:rPr>
      </w:pPr>
    </w:p>
    <w:p w14:paraId="70F9CA02" w14:textId="77777777" w:rsidR="00241DE4" w:rsidRDefault="00241DE4" w:rsidP="00241DE4">
      <w:pPr>
        <w:tabs>
          <w:tab w:val="num" w:pos="2160"/>
          <w:tab w:val="num" w:pos="2880"/>
        </w:tabs>
        <w:jc w:val="both"/>
        <w:rPr>
          <w:rFonts w:asciiTheme="majorBidi" w:hAnsiTheme="majorBidi" w:cstheme="majorBidi"/>
          <w:bCs/>
          <w:i/>
          <w:iCs/>
        </w:rPr>
      </w:pPr>
    </w:p>
    <w:p w14:paraId="3CE20E62" w14:textId="77777777" w:rsidR="00241DE4" w:rsidRDefault="00241DE4" w:rsidP="00241DE4">
      <w:pPr>
        <w:tabs>
          <w:tab w:val="num" w:pos="2160"/>
          <w:tab w:val="num" w:pos="2880"/>
        </w:tabs>
        <w:jc w:val="both"/>
        <w:rPr>
          <w:rFonts w:asciiTheme="majorBidi" w:hAnsiTheme="majorBidi" w:cstheme="majorBidi"/>
          <w:bCs/>
          <w:i/>
          <w:iCs/>
        </w:rPr>
      </w:pPr>
    </w:p>
    <w:p w14:paraId="2D8CAC21" w14:textId="77777777" w:rsidR="00241DE4" w:rsidRDefault="00241DE4" w:rsidP="00241DE4">
      <w:pPr>
        <w:tabs>
          <w:tab w:val="num" w:pos="2160"/>
          <w:tab w:val="num" w:pos="2880"/>
        </w:tabs>
        <w:jc w:val="both"/>
        <w:rPr>
          <w:rFonts w:asciiTheme="majorBidi" w:hAnsiTheme="majorBidi" w:cstheme="majorBidi"/>
          <w:bCs/>
          <w:i/>
          <w:iCs/>
        </w:rPr>
      </w:pPr>
    </w:p>
    <w:p w14:paraId="63B12EF2" w14:textId="097441F8" w:rsidR="00A87B18" w:rsidRPr="00241DE4" w:rsidRDefault="00FD441E" w:rsidP="00241DE4">
      <w:pPr>
        <w:tabs>
          <w:tab w:val="num" w:pos="2160"/>
          <w:tab w:val="num" w:pos="2880"/>
        </w:tabs>
        <w:jc w:val="both"/>
        <w:rPr>
          <w:rFonts w:asciiTheme="majorBidi" w:hAnsiTheme="majorBidi" w:cstheme="majorBidi"/>
          <w:bCs/>
          <w:i/>
          <w:iCs/>
        </w:rPr>
      </w:pPr>
      <w:r w:rsidRPr="00241DE4">
        <w:rPr>
          <w:rFonts w:asciiTheme="majorBidi" w:hAnsiTheme="majorBidi" w:cstheme="majorBidi"/>
          <w:b/>
          <w:bCs/>
          <w:iCs/>
          <w:highlight w:val="green"/>
          <w:u w:val="single"/>
          <w:lang w:val="en-GB"/>
        </w:rPr>
        <w:t>Agreements:</w:t>
      </w:r>
    </w:p>
    <w:p w14:paraId="1F62D52E" w14:textId="77777777" w:rsidR="00A87B18" w:rsidRPr="00487EB7" w:rsidRDefault="00FD441E" w:rsidP="00D14C02">
      <w:pPr>
        <w:pStyle w:val="ListParagraph"/>
        <w:numPr>
          <w:ilvl w:val="0"/>
          <w:numId w:val="12"/>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Support increased PDCCH monitoring capability on at least the maximum number of non-overlapped CCEs per slot for channel estimation for Rel-16 NR URLLC for at least one SCS subject to the following restrictions:</w:t>
      </w:r>
    </w:p>
    <w:p w14:paraId="2D990254" w14:textId="77777777" w:rsidR="00A87B18" w:rsidRPr="00487EB7" w:rsidRDefault="00FD441E" w:rsidP="00D14C02">
      <w:pPr>
        <w:pStyle w:val="ListParagraph"/>
        <w:numPr>
          <w:ilvl w:val="1"/>
          <w:numId w:val="13"/>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Explicit limitation on the maximum number of BDs/non-overlapping CCEs per monitoring occasion and/or per monitoring span, and</w:t>
      </w:r>
    </w:p>
    <w:p w14:paraId="61FB2854" w14:textId="77777777" w:rsidR="00A87B18" w:rsidRPr="00487EB7" w:rsidRDefault="00FD441E" w:rsidP="00D14C02">
      <w:pPr>
        <w:pStyle w:val="ListParagraph"/>
        <w:numPr>
          <w:ilvl w:val="1"/>
          <w:numId w:val="13"/>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The set of applicable SCS(s) to be finalized during the WI phase</w:t>
      </w:r>
    </w:p>
    <w:p w14:paraId="7B471A38" w14:textId="77777777" w:rsidR="00A87B18" w:rsidRPr="00487EB7" w:rsidRDefault="00FD441E" w:rsidP="00D14C02">
      <w:pPr>
        <w:pStyle w:val="ListParagraph"/>
        <w:numPr>
          <w:ilvl w:val="1"/>
          <w:numId w:val="13"/>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Additional restrictions (e.g., impact # of CCs if any, potential limitations on PDSCH/PUSCH processing, impact of wideband RS for CCE counting if any, etc.) can be considered during the WI phase </w:t>
      </w:r>
    </w:p>
    <w:p w14:paraId="77CE8042" w14:textId="77777777" w:rsidR="00DE2A52" w:rsidRPr="00487EB7" w:rsidRDefault="00DE2A52" w:rsidP="00487EB7">
      <w:pPr>
        <w:tabs>
          <w:tab w:val="num" w:pos="2160"/>
          <w:tab w:val="num" w:pos="2880"/>
        </w:tabs>
        <w:jc w:val="both"/>
        <w:rPr>
          <w:rFonts w:asciiTheme="majorBidi" w:hAnsiTheme="majorBidi" w:cstheme="majorBidi"/>
          <w:b/>
          <w:bCs/>
          <w:iCs/>
          <w:highlight w:val="green"/>
          <w:u w:val="single"/>
          <w:lang w:val="en-GB"/>
        </w:rPr>
      </w:pPr>
    </w:p>
    <w:p w14:paraId="71C5D246" w14:textId="0C461634" w:rsidR="00A87B18" w:rsidRPr="00487EB7" w:rsidRDefault="00FD441E" w:rsidP="00487EB7">
      <w:pPr>
        <w:tabs>
          <w:tab w:val="num" w:pos="2160"/>
          <w:tab w:val="num" w:pos="2880"/>
        </w:tabs>
        <w:jc w:val="both"/>
        <w:rPr>
          <w:rFonts w:asciiTheme="majorBidi" w:hAnsiTheme="majorBidi" w:cstheme="majorBidi"/>
          <w:b/>
          <w:bCs/>
          <w:iCs/>
          <w:u w:val="single"/>
        </w:rPr>
      </w:pPr>
      <w:r w:rsidRPr="00487EB7">
        <w:rPr>
          <w:rFonts w:asciiTheme="majorBidi" w:hAnsiTheme="majorBidi" w:cstheme="majorBidi"/>
          <w:b/>
          <w:bCs/>
          <w:iCs/>
          <w:highlight w:val="green"/>
          <w:u w:val="single"/>
          <w:lang w:val="en-GB"/>
        </w:rPr>
        <w:t>Agreements:</w:t>
      </w:r>
    </w:p>
    <w:p w14:paraId="4D20B20D" w14:textId="77777777" w:rsidR="00A87B18" w:rsidRPr="00487EB7" w:rsidRDefault="00FD441E" w:rsidP="00D14C02">
      <w:pPr>
        <w:pStyle w:val="ListParagraph"/>
        <w:numPr>
          <w:ilvl w:val="0"/>
          <w:numId w:val="14"/>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Enhancements for PDCCH monitoring capability on the maximum number of monitored PDCCH candidates per slot (with potential restrictions) for Rel-16 NR URLLC can be further considered in work item phase.</w:t>
      </w:r>
    </w:p>
    <w:p w14:paraId="7FD11AAF" w14:textId="77777777" w:rsidR="00181729" w:rsidRPr="00487EB7" w:rsidRDefault="00181729" w:rsidP="00487EB7">
      <w:pPr>
        <w:tabs>
          <w:tab w:val="num" w:pos="2160"/>
          <w:tab w:val="num" w:pos="2880"/>
        </w:tabs>
        <w:jc w:val="both"/>
        <w:rPr>
          <w:rFonts w:asciiTheme="majorBidi" w:hAnsiTheme="majorBidi" w:cstheme="majorBidi"/>
          <w:bCs/>
          <w:iCs/>
        </w:rPr>
      </w:pPr>
    </w:p>
    <w:p w14:paraId="316410AA" w14:textId="77777777" w:rsidR="00A87B18" w:rsidRPr="00487EB7" w:rsidRDefault="00FD441E" w:rsidP="00487EB7">
      <w:pPr>
        <w:tabs>
          <w:tab w:val="num" w:pos="2160"/>
          <w:tab w:val="num" w:pos="2880"/>
        </w:tabs>
        <w:jc w:val="both"/>
        <w:rPr>
          <w:rFonts w:asciiTheme="majorBidi" w:hAnsiTheme="majorBidi" w:cstheme="majorBidi"/>
          <w:b/>
          <w:bCs/>
          <w:iCs/>
          <w:u w:val="single"/>
        </w:rPr>
      </w:pPr>
      <w:r w:rsidRPr="00487EB7">
        <w:rPr>
          <w:rFonts w:asciiTheme="majorBidi" w:hAnsiTheme="majorBidi" w:cstheme="majorBidi"/>
          <w:b/>
          <w:bCs/>
          <w:iCs/>
          <w:highlight w:val="green"/>
          <w:u w:val="single"/>
          <w:lang w:val="en-GB"/>
        </w:rPr>
        <w:t>Agreements:</w:t>
      </w:r>
    </w:p>
    <w:p w14:paraId="66E028FD" w14:textId="364A66F8" w:rsidR="00A87B18" w:rsidRPr="00487EB7" w:rsidRDefault="00FD441E" w:rsidP="00D14C02">
      <w:pPr>
        <w:pStyle w:val="ListParagraph"/>
        <w:numPr>
          <w:ilvl w:val="0"/>
          <w:numId w:val="14"/>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For the DCI format(s) (may or may not be new format, to be finalized in the WI phase) scheduling Rel-16 NR URLLC</w:t>
      </w:r>
      <w:r w:rsidR="00DE2A52" w:rsidRPr="00487EB7">
        <w:rPr>
          <w:rFonts w:asciiTheme="majorBidi" w:hAnsiTheme="majorBidi" w:cstheme="majorBidi"/>
          <w:bCs/>
          <w:i/>
          <w:iCs/>
          <w:sz w:val="20"/>
          <w:szCs w:val="20"/>
          <w:lang w:val="en-GB"/>
        </w:rPr>
        <w:t>”</w:t>
      </w:r>
      <w:r w:rsidRPr="00487EB7">
        <w:rPr>
          <w:rFonts w:asciiTheme="majorBidi" w:hAnsiTheme="majorBidi" w:cstheme="majorBidi"/>
          <w:bCs/>
          <w:i/>
          <w:iCs/>
          <w:sz w:val="20"/>
          <w:szCs w:val="20"/>
          <w:lang w:val="en-GB"/>
        </w:rPr>
        <w:t xml:space="preserve"> </w:t>
      </w:r>
    </w:p>
    <w:p w14:paraId="40916CF1" w14:textId="77777777" w:rsidR="00A87B18" w:rsidRPr="00487EB7" w:rsidRDefault="00FD441E" w:rsidP="00D14C02">
      <w:pPr>
        <w:pStyle w:val="ListParagraph"/>
        <w:numPr>
          <w:ilvl w:val="1"/>
          <w:numId w:val="14"/>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Support configurable sizes for some fields, while  </w:t>
      </w:r>
    </w:p>
    <w:p w14:paraId="260D3D22"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The maximum DCI size can be larger than Rel-15 fallback DCI</w:t>
      </w:r>
    </w:p>
    <w:p w14:paraId="64EF0430"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The minimum DCI size target a reduction of 10~16 bits less than the DCI format size of Rel-15 fallback DCI</w:t>
      </w:r>
    </w:p>
    <w:p w14:paraId="4080802D"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Provide the possibility to align with the size of the Rel-15 fallback DCI (including possible zero padding if any)</w:t>
      </w:r>
    </w:p>
    <w:p w14:paraId="1CC216EA" w14:textId="143CE63F" w:rsidR="00A87B18" w:rsidRPr="00487EB7" w:rsidRDefault="00FD441E" w:rsidP="00D14C02">
      <w:pPr>
        <w:pStyle w:val="ListParagraph"/>
        <w:numPr>
          <w:ilvl w:val="1"/>
          <w:numId w:val="14"/>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Support at least one of the following configurable fields – the set of configurable field(s) including bitwidth to be finalized during the WI phase (which may further depend on DL vs. UL assignments)</w:t>
      </w:r>
      <w:r w:rsidR="00DE2A52" w:rsidRPr="00487EB7">
        <w:rPr>
          <w:rFonts w:asciiTheme="majorBidi" w:hAnsiTheme="majorBidi" w:cstheme="majorBidi"/>
          <w:bCs/>
          <w:i/>
          <w:iCs/>
          <w:sz w:val="20"/>
          <w:szCs w:val="20"/>
          <w:lang w:val="en-GB"/>
        </w:rPr>
        <w:t>:</w:t>
      </w:r>
    </w:p>
    <w:p w14:paraId="5CF5DD4E"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Antenna port(s) [0~2 bits]</w:t>
      </w:r>
    </w:p>
    <w:p w14:paraId="5F37F26B"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Transmission configuration indication [0~3 bits]</w:t>
      </w:r>
    </w:p>
    <w:p w14:paraId="005BE118"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Rate matching indicator [0~2 bits]</w:t>
      </w:r>
    </w:p>
    <w:p w14:paraId="5FD7109C"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SRS request [0~3 bits] </w:t>
      </w:r>
    </w:p>
    <w:p w14:paraId="58A52808"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PRB bundling size indicator [0~1 bit]</w:t>
      </w:r>
    </w:p>
    <w:p w14:paraId="52FDB0B1"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Carrier indicator [0~3 bits]</w:t>
      </w:r>
    </w:p>
    <w:p w14:paraId="697064D1"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CSI request [0~3 bit]</w:t>
      </w:r>
    </w:p>
    <w:p w14:paraId="17D8A30F"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ZP CSI-RS triggering [0~2 bits] </w:t>
      </w:r>
    </w:p>
    <w:p w14:paraId="6CF436F6"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Beta offset indicator [0~2 bits]</w:t>
      </w:r>
    </w:p>
    <w:p w14:paraId="6FED6444"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SRS resource indicator [0~4 bits]</w:t>
      </w:r>
    </w:p>
    <w:p w14:paraId="012C69EF"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Repetition factor [0~2 bits]</w:t>
      </w:r>
    </w:p>
    <w:p w14:paraId="1FE8B896"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Priority indication [0~3 bits]</w:t>
      </w:r>
    </w:p>
    <w:p w14:paraId="3DFE2643" w14:textId="77777777" w:rsidR="00A87B18" w:rsidRPr="00487EB7" w:rsidRDefault="00FD441E" w:rsidP="00D14C02">
      <w:pPr>
        <w:pStyle w:val="ListParagraph"/>
        <w:numPr>
          <w:ilvl w:val="2"/>
          <w:numId w:val="14"/>
        </w:numPr>
        <w:tabs>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 xml:space="preserve">Note: Other field(s) can be considered if needed </w:t>
      </w:r>
    </w:p>
    <w:p w14:paraId="6D53B69F" w14:textId="5A0EC087" w:rsidR="00181729" w:rsidRPr="00487EB7" w:rsidRDefault="00DE2A52" w:rsidP="00D14C02">
      <w:pPr>
        <w:pStyle w:val="ListParagraph"/>
        <w:numPr>
          <w:ilvl w:val="1"/>
          <w:numId w:val="14"/>
        </w:numPr>
        <w:tabs>
          <w:tab w:val="num" w:pos="2160"/>
          <w:tab w:val="num" w:pos="2880"/>
        </w:tabs>
        <w:jc w:val="both"/>
        <w:rPr>
          <w:rFonts w:asciiTheme="majorBidi" w:hAnsiTheme="majorBidi" w:cstheme="majorBidi"/>
          <w:bCs/>
          <w:i/>
          <w:iCs/>
          <w:sz w:val="20"/>
          <w:szCs w:val="20"/>
        </w:rPr>
      </w:pPr>
      <w:r w:rsidRPr="00487EB7">
        <w:rPr>
          <w:rFonts w:asciiTheme="majorBidi" w:hAnsiTheme="majorBidi" w:cstheme="majorBidi"/>
          <w:bCs/>
          <w:i/>
          <w:iCs/>
          <w:sz w:val="20"/>
          <w:szCs w:val="20"/>
          <w:lang w:val="en-GB"/>
        </w:rPr>
        <w:t>Note: This doesn’t imply the necessity to increase the DCI size budget (i.e. “3 +1”) compared to Rel-15</w:t>
      </w:r>
    </w:p>
    <w:p w14:paraId="5C2A8BFE" w14:textId="26BCC829" w:rsidR="00181729" w:rsidRPr="00487EB7" w:rsidRDefault="00181729" w:rsidP="00487EB7">
      <w:pPr>
        <w:tabs>
          <w:tab w:val="num" w:pos="2160"/>
          <w:tab w:val="num" w:pos="2880"/>
        </w:tabs>
        <w:jc w:val="both"/>
        <w:rPr>
          <w:rFonts w:asciiTheme="majorBidi" w:hAnsiTheme="majorBidi" w:cstheme="majorBidi"/>
          <w:bCs/>
          <w:iCs/>
        </w:rPr>
      </w:pPr>
    </w:p>
    <w:p w14:paraId="3357A443" w14:textId="27263BAD" w:rsidR="00487EB7" w:rsidRPr="00487EB7" w:rsidRDefault="00487EB7" w:rsidP="00487EB7">
      <w:pPr>
        <w:tabs>
          <w:tab w:val="num" w:pos="2160"/>
          <w:tab w:val="num" w:pos="2880"/>
        </w:tabs>
        <w:jc w:val="both"/>
        <w:rPr>
          <w:rFonts w:asciiTheme="majorBidi" w:hAnsiTheme="majorBidi" w:cstheme="majorBidi"/>
          <w:bCs/>
          <w:iCs/>
        </w:rPr>
      </w:pPr>
      <w:r w:rsidRPr="00487EB7">
        <w:rPr>
          <w:rFonts w:asciiTheme="majorBidi" w:hAnsiTheme="majorBidi" w:cstheme="majorBidi"/>
          <w:bCs/>
          <w:iCs/>
        </w:rPr>
        <w:t>Further, in RAN1 #96b, the following agreements were made:</w:t>
      </w:r>
    </w:p>
    <w:p w14:paraId="35380081" w14:textId="77777777" w:rsidR="00487EB7" w:rsidRDefault="00E01491" w:rsidP="00487EB7">
      <w:pPr>
        <w:tabs>
          <w:tab w:val="num" w:pos="2160"/>
          <w:tab w:val="num" w:pos="2880"/>
        </w:tabs>
        <w:jc w:val="both"/>
        <w:rPr>
          <w:rFonts w:asciiTheme="majorBidi" w:hAnsiTheme="majorBidi" w:cstheme="majorBidi"/>
          <w:bCs/>
          <w:iCs/>
          <w:u w:val="single"/>
        </w:rPr>
      </w:pPr>
      <w:r w:rsidRPr="00487EB7">
        <w:rPr>
          <w:rFonts w:asciiTheme="majorBidi" w:hAnsiTheme="majorBidi" w:cstheme="majorBidi"/>
          <w:b/>
          <w:bCs/>
          <w:iCs/>
          <w:highlight w:val="green"/>
          <w:u w:val="single"/>
          <w:lang w:val="en-GB"/>
        </w:rPr>
        <w:t>Agreements:</w:t>
      </w:r>
    </w:p>
    <w:p w14:paraId="3DC3F0CA" w14:textId="311CB427" w:rsidR="00E01491" w:rsidRPr="00487EB7" w:rsidRDefault="00E01491" w:rsidP="00D14C02">
      <w:pPr>
        <w:pStyle w:val="ListParagraph"/>
        <w:numPr>
          <w:ilvl w:val="0"/>
          <w:numId w:val="14"/>
        </w:numPr>
        <w:tabs>
          <w:tab w:val="num" w:pos="2160"/>
          <w:tab w:val="num" w:pos="2880"/>
        </w:tabs>
        <w:jc w:val="both"/>
        <w:rPr>
          <w:rFonts w:asciiTheme="majorBidi" w:hAnsiTheme="majorBidi" w:cstheme="majorBidi"/>
          <w:bCs/>
          <w:i/>
          <w:iCs/>
          <w:sz w:val="20"/>
          <w:u w:val="single"/>
        </w:rPr>
      </w:pPr>
      <w:r w:rsidRPr="00487EB7">
        <w:rPr>
          <w:rFonts w:asciiTheme="majorBidi" w:hAnsiTheme="majorBidi" w:cstheme="majorBidi"/>
          <w:bCs/>
          <w:i/>
          <w:iCs/>
          <w:sz w:val="20"/>
          <w:lang w:val="en-GB"/>
        </w:rPr>
        <w:t>Support configurable number of bits for the following fields for DL DCI format scheduling Rel-16 URLLC.</w:t>
      </w:r>
    </w:p>
    <w:p w14:paraId="20F94F4D" w14:textId="77777777" w:rsidR="00E01491" w:rsidRPr="00487EB7" w:rsidRDefault="00E01491" w:rsidP="00D14C02">
      <w:pPr>
        <w:pStyle w:val="ListParagraph"/>
        <w:numPr>
          <w:ilvl w:val="0"/>
          <w:numId w:val="14"/>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Carrier indicator (0 bit or at least one non-zero bit)</w:t>
      </w:r>
    </w:p>
    <w:p w14:paraId="1763EF41" w14:textId="77777777" w:rsidR="00E01491" w:rsidRPr="00487EB7" w:rsidRDefault="00E01491" w:rsidP="00D14C02">
      <w:pPr>
        <w:pStyle w:val="ListParagraph"/>
        <w:numPr>
          <w:ilvl w:val="0"/>
          <w:numId w:val="14"/>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PRB bundling size indicator (0 or 1 bit)</w:t>
      </w:r>
    </w:p>
    <w:p w14:paraId="34B72A39" w14:textId="77777777" w:rsidR="00487EB7" w:rsidRPr="00487EB7" w:rsidRDefault="00E01491" w:rsidP="00D14C02">
      <w:pPr>
        <w:pStyle w:val="ListParagraph"/>
        <w:numPr>
          <w:ilvl w:val="0"/>
          <w:numId w:val="14"/>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Rate matching indicator (0, 1 or 2 bits)</w:t>
      </w:r>
    </w:p>
    <w:p w14:paraId="3C379FEB" w14:textId="71DBA32C" w:rsidR="00E01491" w:rsidRPr="00487EB7" w:rsidRDefault="00E01491" w:rsidP="00D14C02">
      <w:pPr>
        <w:pStyle w:val="ListParagraph"/>
        <w:numPr>
          <w:ilvl w:val="0"/>
          <w:numId w:val="14"/>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ZP CSI-RS trigger (0, 1 or 2 bits)</w:t>
      </w:r>
    </w:p>
    <w:p w14:paraId="613C1252" w14:textId="14516094" w:rsidR="00241DE4" w:rsidRDefault="00241DE4" w:rsidP="00487EB7">
      <w:pPr>
        <w:tabs>
          <w:tab w:val="num" w:pos="2880"/>
        </w:tabs>
        <w:jc w:val="both"/>
        <w:rPr>
          <w:rFonts w:asciiTheme="majorBidi" w:hAnsiTheme="majorBidi" w:cstheme="majorBidi"/>
          <w:bCs/>
          <w:iCs/>
        </w:rPr>
      </w:pPr>
    </w:p>
    <w:p w14:paraId="5B56A658" w14:textId="77777777" w:rsidR="00CF501D" w:rsidRPr="00487EB7" w:rsidRDefault="00CF501D" w:rsidP="00487EB7">
      <w:pPr>
        <w:tabs>
          <w:tab w:val="num" w:pos="2880"/>
        </w:tabs>
        <w:jc w:val="both"/>
        <w:rPr>
          <w:rFonts w:asciiTheme="majorBidi" w:hAnsiTheme="majorBidi" w:cstheme="majorBidi"/>
          <w:bCs/>
          <w:iCs/>
        </w:rPr>
      </w:pPr>
    </w:p>
    <w:p w14:paraId="453BE552" w14:textId="77777777" w:rsidR="00487EB7" w:rsidRPr="00487EB7" w:rsidRDefault="00E01491" w:rsidP="00487EB7">
      <w:pPr>
        <w:tabs>
          <w:tab w:val="num" w:pos="2160"/>
          <w:tab w:val="num" w:pos="2880"/>
        </w:tabs>
        <w:jc w:val="both"/>
        <w:rPr>
          <w:rFonts w:asciiTheme="majorBidi" w:hAnsiTheme="majorBidi" w:cstheme="majorBidi"/>
          <w:bCs/>
          <w:iCs/>
          <w:u w:val="single"/>
        </w:rPr>
      </w:pPr>
      <w:r w:rsidRPr="00487EB7">
        <w:rPr>
          <w:rFonts w:asciiTheme="majorBidi" w:hAnsiTheme="majorBidi" w:cstheme="majorBidi"/>
          <w:b/>
          <w:bCs/>
          <w:iCs/>
          <w:highlight w:val="green"/>
          <w:u w:val="single"/>
          <w:lang w:val="en-GB"/>
        </w:rPr>
        <w:lastRenderedPageBreak/>
        <w:t>Agreements:</w:t>
      </w:r>
    </w:p>
    <w:p w14:paraId="5FCF053F" w14:textId="77777777" w:rsidR="00487EB7" w:rsidRDefault="00E01491" w:rsidP="00487EB7">
      <w:pPr>
        <w:tabs>
          <w:tab w:val="num" w:pos="2160"/>
          <w:tab w:val="num" w:pos="2880"/>
        </w:tabs>
        <w:jc w:val="both"/>
        <w:rPr>
          <w:rFonts w:asciiTheme="majorBidi" w:hAnsiTheme="majorBidi" w:cstheme="majorBidi"/>
          <w:bCs/>
          <w:iCs/>
        </w:rPr>
      </w:pPr>
      <w:r w:rsidRPr="00487EB7">
        <w:rPr>
          <w:rFonts w:asciiTheme="majorBidi" w:hAnsiTheme="majorBidi" w:cstheme="majorBidi"/>
          <w:bCs/>
          <w:iCs/>
          <w:lang w:val="en-GB"/>
        </w:rPr>
        <w:t xml:space="preserve">The following fields from Rel-15 DCI format 1_1 are not included (in case new DCI format) or can be configured to be absent (0 bit) as in Rel-15 (in case reusing the existing format) in the DL DCI format scheduling Rel-16 URLLC. </w:t>
      </w:r>
    </w:p>
    <w:p w14:paraId="72823EDB" w14:textId="1CE03146" w:rsidR="00E01491" w:rsidRPr="00487EB7" w:rsidRDefault="00E01491" w:rsidP="00D14C02">
      <w:pPr>
        <w:pStyle w:val="ListParagraph"/>
        <w:numPr>
          <w:ilvl w:val="0"/>
          <w:numId w:val="16"/>
        </w:numPr>
        <w:tabs>
          <w:tab w:val="num" w:pos="2160"/>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Modulation and coding scheme for TB 2</w:t>
      </w:r>
    </w:p>
    <w:p w14:paraId="09B24136" w14:textId="77777777" w:rsidR="00E01491" w:rsidRPr="00487EB7" w:rsidRDefault="00E01491" w:rsidP="00D14C02">
      <w:pPr>
        <w:pStyle w:val="ListParagraph"/>
        <w:numPr>
          <w:ilvl w:val="0"/>
          <w:numId w:val="16"/>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New data indicator for TB 2</w:t>
      </w:r>
    </w:p>
    <w:p w14:paraId="167C6C97" w14:textId="77777777" w:rsidR="00E01491" w:rsidRPr="00487EB7" w:rsidRDefault="00E01491" w:rsidP="00D14C02">
      <w:pPr>
        <w:pStyle w:val="ListParagraph"/>
        <w:numPr>
          <w:ilvl w:val="0"/>
          <w:numId w:val="16"/>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Redundancy version for TB 2</w:t>
      </w:r>
    </w:p>
    <w:p w14:paraId="3E5EAAA2" w14:textId="77777777" w:rsidR="00E01491" w:rsidRPr="00487EB7" w:rsidRDefault="00E01491" w:rsidP="00D14C02">
      <w:pPr>
        <w:pStyle w:val="ListParagraph"/>
        <w:numPr>
          <w:ilvl w:val="0"/>
          <w:numId w:val="16"/>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 xml:space="preserve">CBG transmission information </w:t>
      </w:r>
    </w:p>
    <w:p w14:paraId="50C4D128" w14:textId="77777777" w:rsidR="00E01491" w:rsidRPr="00487EB7" w:rsidRDefault="00E01491" w:rsidP="00D14C02">
      <w:pPr>
        <w:pStyle w:val="ListParagraph"/>
        <w:numPr>
          <w:ilvl w:val="0"/>
          <w:numId w:val="16"/>
        </w:numPr>
        <w:tabs>
          <w:tab w:val="num" w:pos="2880"/>
        </w:tabs>
        <w:jc w:val="both"/>
        <w:rPr>
          <w:rFonts w:asciiTheme="majorBidi" w:hAnsiTheme="majorBidi" w:cstheme="majorBidi"/>
          <w:bCs/>
          <w:iCs/>
        </w:rPr>
      </w:pPr>
      <w:r w:rsidRPr="00487EB7">
        <w:rPr>
          <w:rFonts w:asciiTheme="majorBidi" w:hAnsiTheme="majorBidi" w:cstheme="majorBidi"/>
          <w:bCs/>
          <w:i/>
          <w:iCs/>
          <w:sz w:val="20"/>
          <w:lang w:val="en-GB"/>
        </w:rPr>
        <w:t>CBG flushing information</w:t>
      </w:r>
      <w:r w:rsidRPr="00487EB7">
        <w:rPr>
          <w:rFonts w:asciiTheme="majorBidi" w:hAnsiTheme="majorBidi" w:cstheme="majorBidi"/>
          <w:bCs/>
          <w:iCs/>
          <w:sz w:val="20"/>
          <w:lang w:val="en-GB"/>
        </w:rPr>
        <w:t xml:space="preserve"> </w:t>
      </w:r>
    </w:p>
    <w:p w14:paraId="7C0249FC" w14:textId="77777777" w:rsidR="00487EB7" w:rsidRDefault="00487EB7" w:rsidP="00487EB7">
      <w:pPr>
        <w:tabs>
          <w:tab w:val="num" w:pos="2160"/>
          <w:tab w:val="num" w:pos="2880"/>
        </w:tabs>
        <w:jc w:val="both"/>
        <w:rPr>
          <w:rFonts w:asciiTheme="majorBidi" w:hAnsiTheme="majorBidi" w:cstheme="majorBidi"/>
          <w:b/>
          <w:bCs/>
          <w:iCs/>
          <w:lang w:val="en-GB"/>
        </w:rPr>
      </w:pPr>
    </w:p>
    <w:p w14:paraId="2998D03D" w14:textId="12D12197" w:rsidR="00E01491" w:rsidRPr="00487EB7" w:rsidRDefault="00E01491" w:rsidP="00487EB7">
      <w:pPr>
        <w:tabs>
          <w:tab w:val="num" w:pos="2160"/>
          <w:tab w:val="num" w:pos="2880"/>
        </w:tabs>
        <w:jc w:val="both"/>
        <w:rPr>
          <w:rFonts w:asciiTheme="majorBidi" w:hAnsiTheme="majorBidi" w:cstheme="majorBidi"/>
          <w:bCs/>
          <w:iCs/>
          <w:u w:val="single"/>
        </w:rPr>
      </w:pPr>
      <w:r w:rsidRPr="00487EB7">
        <w:rPr>
          <w:rFonts w:asciiTheme="majorBidi" w:hAnsiTheme="majorBidi" w:cstheme="majorBidi"/>
          <w:b/>
          <w:bCs/>
          <w:iCs/>
          <w:highlight w:val="green"/>
          <w:u w:val="single"/>
          <w:lang w:val="en-GB"/>
        </w:rPr>
        <w:t>Agreements:</w:t>
      </w:r>
    </w:p>
    <w:p w14:paraId="66796C6E" w14:textId="77777777" w:rsidR="00E01491" w:rsidRPr="00487EB7" w:rsidRDefault="00E01491" w:rsidP="00D14C02">
      <w:pPr>
        <w:pStyle w:val="ListParagraph"/>
        <w:numPr>
          <w:ilvl w:val="0"/>
          <w:numId w:val="17"/>
        </w:numPr>
        <w:tabs>
          <w:tab w:val="num" w:pos="2160"/>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Keep the following two fields without any change from Rel-15 DCI in DCI format scheduling Rel-16 URLLC:</w:t>
      </w:r>
    </w:p>
    <w:p w14:paraId="5B41A19C" w14:textId="77777777" w:rsidR="00E01491" w:rsidRPr="00487EB7" w:rsidRDefault="00E01491" w:rsidP="00D14C02">
      <w:pPr>
        <w:pStyle w:val="ListParagraph"/>
        <w:numPr>
          <w:ilvl w:val="0"/>
          <w:numId w:val="17"/>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Identifier for DCI formats (1 bit) (when applicable)</w:t>
      </w:r>
    </w:p>
    <w:p w14:paraId="00CC176B" w14:textId="75EBDE09" w:rsidR="00487EB7" w:rsidRPr="00487EB7" w:rsidRDefault="00487EB7" w:rsidP="00D14C02">
      <w:pPr>
        <w:pStyle w:val="ListParagraph"/>
        <w:numPr>
          <w:ilvl w:val="0"/>
          <w:numId w:val="17"/>
        </w:numPr>
        <w:tabs>
          <w:tab w:val="num" w:pos="2160"/>
          <w:tab w:val="num" w:pos="2880"/>
        </w:tabs>
        <w:jc w:val="both"/>
        <w:rPr>
          <w:rFonts w:asciiTheme="majorBidi" w:hAnsiTheme="majorBidi" w:cstheme="majorBidi"/>
          <w:bCs/>
          <w:i/>
          <w:iCs/>
          <w:sz w:val="20"/>
          <w:lang w:val="en-GB"/>
        </w:rPr>
      </w:pPr>
      <w:r w:rsidRPr="00487EB7">
        <w:rPr>
          <w:rFonts w:asciiTheme="majorBidi" w:hAnsiTheme="majorBidi" w:cstheme="majorBidi"/>
          <w:bCs/>
          <w:i/>
          <w:iCs/>
          <w:sz w:val="20"/>
          <w:lang w:val="en-GB"/>
        </w:rPr>
        <w:t>New data indicator (1 bit)</w:t>
      </w:r>
    </w:p>
    <w:p w14:paraId="74B2058A" w14:textId="6C8B6C27" w:rsidR="00487EB7" w:rsidRDefault="00487EB7" w:rsidP="00487EB7">
      <w:pPr>
        <w:tabs>
          <w:tab w:val="num" w:pos="2160"/>
          <w:tab w:val="num" w:pos="2880"/>
        </w:tabs>
        <w:jc w:val="both"/>
        <w:rPr>
          <w:rFonts w:asciiTheme="majorBidi" w:hAnsiTheme="majorBidi" w:cstheme="majorBidi"/>
          <w:bCs/>
          <w:iCs/>
        </w:rPr>
      </w:pPr>
    </w:p>
    <w:p w14:paraId="776810E6" w14:textId="77777777" w:rsidR="00E01491" w:rsidRPr="00487EB7" w:rsidRDefault="00E01491" w:rsidP="00487EB7">
      <w:pPr>
        <w:tabs>
          <w:tab w:val="num" w:pos="2160"/>
          <w:tab w:val="num" w:pos="2880"/>
        </w:tabs>
        <w:jc w:val="both"/>
        <w:rPr>
          <w:rFonts w:asciiTheme="majorBidi" w:hAnsiTheme="majorBidi" w:cstheme="majorBidi"/>
          <w:bCs/>
          <w:iCs/>
          <w:u w:val="single"/>
        </w:rPr>
      </w:pPr>
      <w:r w:rsidRPr="00487EB7">
        <w:rPr>
          <w:rFonts w:asciiTheme="majorBidi" w:hAnsiTheme="majorBidi" w:cstheme="majorBidi"/>
          <w:b/>
          <w:bCs/>
          <w:iCs/>
          <w:highlight w:val="green"/>
          <w:u w:val="single"/>
          <w:lang w:val="en-GB"/>
        </w:rPr>
        <w:t>Agreements:</w:t>
      </w:r>
    </w:p>
    <w:p w14:paraId="6E5D3D57" w14:textId="77777777" w:rsidR="00E01491" w:rsidRPr="00487EB7" w:rsidRDefault="00E01491" w:rsidP="00D14C02">
      <w:pPr>
        <w:pStyle w:val="ListParagraph"/>
        <w:numPr>
          <w:ilvl w:val="0"/>
          <w:numId w:val="18"/>
        </w:numPr>
        <w:tabs>
          <w:tab w:val="num" w:pos="2160"/>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 xml:space="preserve">The following field from Rel-15 DCI format 0_1 are not included (in case new DCI format) or can be configured to be absent (0 bit) as in Rel-15 (in case reusing the existing format) in the UL DCI format scheduling Rel-16 URLLC: </w:t>
      </w:r>
    </w:p>
    <w:p w14:paraId="0A072121" w14:textId="77777777" w:rsidR="00E01491" w:rsidRPr="00487EB7" w:rsidRDefault="00E01491" w:rsidP="00D14C02">
      <w:pPr>
        <w:pStyle w:val="ListParagraph"/>
        <w:numPr>
          <w:ilvl w:val="0"/>
          <w:numId w:val="18"/>
        </w:numPr>
        <w:tabs>
          <w:tab w:val="num" w:pos="2880"/>
        </w:tabs>
        <w:jc w:val="both"/>
        <w:rPr>
          <w:rFonts w:asciiTheme="majorBidi" w:hAnsiTheme="majorBidi" w:cstheme="majorBidi"/>
          <w:bCs/>
          <w:i/>
          <w:iCs/>
          <w:sz w:val="20"/>
        </w:rPr>
      </w:pPr>
      <w:r w:rsidRPr="00487EB7">
        <w:rPr>
          <w:rFonts w:asciiTheme="majorBidi" w:hAnsiTheme="majorBidi" w:cstheme="majorBidi"/>
          <w:bCs/>
          <w:i/>
          <w:iCs/>
          <w:sz w:val="20"/>
          <w:lang w:val="en-GB"/>
        </w:rPr>
        <w:t xml:space="preserve">CBG transmission information </w:t>
      </w:r>
    </w:p>
    <w:p w14:paraId="3BC0F919" w14:textId="1E8C49A8" w:rsidR="00487EB7" w:rsidRDefault="00487EB7" w:rsidP="00487EB7">
      <w:pPr>
        <w:tabs>
          <w:tab w:val="num" w:pos="2160"/>
          <w:tab w:val="num" w:pos="2880"/>
        </w:tabs>
        <w:jc w:val="both"/>
        <w:rPr>
          <w:rFonts w:asciiTheme="majorBidi" w:hAnsiTheme="majorBidi" w:cstheme="majorBidi"/>
          <w:bCs/>
          <w:iCs/>
        </w:rPr>
      </w:pPr>
    </w:p>
    <w:p w14:paraId="06F27B77" w14:textId="54A8A025" w:rsidR="00D73C64" w:rsidRDefault="00D73C64" w:rsidP="00487EB7">
      <w:pPr>
        <w:tabs>
          <w:tab w:val="num" w:pos="2160"/>
          <w:tab w:val="num" w:pos="2880"/>
        </w:tabs>
        <w:jc w:val="both"/>
        <w:rPr>
          <w:rFonts w:asciiTheme="majorBidi" w:hAnsiTheme="majorBidi" w:cstheme="majorBidi"/>
          <w:bCs/>
          <w:iCs/>
        </w:rPr>
      </w:pPr>
      <w:r>
        <w:rPr>
          <w:rFonts w:asciiTheme="majorBidi" w:hAnsiTheme="majorBidi" w:cstheme="majorBidi"/>
          <w:bCs/>
          <w:iCs/>
        </w:rPr>
        <w:t>Finally, in RAN1 #97, the following agreements were made:</w:t>
      </w:r>
    </w:p>
    <w:p w14:paraId="70747920" w14:textId="77777777" w:rsidR="00D73C64" w:rsidRPr="00D73C64" w:rsidRDefault="00D73C64" w:rsidP="00D73C64">
      <w:pPr>
        <w:tabs>
          <w:tab w:val="num" w:pos="2160"/>
          <w:tab w:val="num" w:pos="2880"/>
        </w:tabs>
        <w:jc w:val="both"/>
        <w:rPr>
          <w:rFonts w:asciiTheme="majorBidi" w:hAnsiTheme="majorBidi" w:cstheme="majorBidi"/>
          <w:bCs/>
          <w:iCs/>
        </w:rPr>
      </w:pPr>
      <w:r w:rsidRPr="00D73C64">
        <w:rPr>
          <w:rFonts w:asciiTheme="majorBidi" w:hAnsiTheme="majorBidi" w:cstheme="majorBidi"/>
          <w:b/>
          <w:bCs/>
          <w:iCs/>
          <w:highlight w:val="green"/>
          <w:u w:val="single"/>
          <w:lang w:val="en-GB"/>
        </w:rPr>
        <w:t>Agreements:</w:t>
      </w:r>
    </w:p>
    <w:p w14:paraId="3F57B297" w14:textId="4A13419F" w:rsidR="00D73C64" w:rsidRPr="00FC7361" w:rsidRDefault="00D73C64" w:rsidP="00D14C02">
      <w:pPr>
        <w:pStyle w:val="ListParagraph"/>
        <w:numPr>
          <w:ilvl w:val="0"/>
          <w:numId w:val="19"/>
        </w:numPr>
        <w:tabs>
          <w:tab w:val="num" w:pos="2160"/>
          <w:tab w:val="num" w:pos="2880"/>
        </w:tabs>
        <w:jc w:val="both"/>
        <w:rPr>
          <w:rFonts w:asciiTheme="majorBidi" w:hAnsiTheme="majorBidi" w:cstheme="majorBidi"/>
          <w:bCs/>
          <w:i/>
          <w:iCs/>
          <w:sz w:val="20"/>
        </w:rPr>
      </w:pPr>
      <w:r w:rsidRPr="00FC7361">
        <w:rPr>
          <w:rFonts w:asciiTheme="majorBidi" w:hAnsiTheme="majorBidi" w:cstheme="majorBidi"/>
          <w:bCs/>
          <w:i/>
          <w:iCs/>
          <w:sz w:val="20"/>
          <w:lang w:val="en-GB"/>
        </w:rPr>
        <w:t>Support configurable TDRA table as in Rel-15 DCI format 1_1 (i.e. 0, 1, 2, 3 or 4 bits for time domain resource assignment) for the DL DCI format scheduling Rel-16 URLLC</w:t>
      </w:r>
    </w:p>
    <w:p w14:paraId="5FC94102" w14:textId="77777777" w:rsidR="00D73C64" w:rsidRPr="00D73C64" w:rsidRDefault="00D73C64" w:rsidP="00D73C64">
      <w:pPr>
        <w:pStyle w:val="ListParagraph"/>
        <w:tabs>
          <w:tab w:val="num" w:pos="2160"/>
          <w:tab w:val="num" w:pos="2880"/>
        </w:tabs>
        <w:jc w:val="both"/>
        <w:rPr>
          <w:rFonts w:asciiTheme="majorBidi" w:hAnsiTheme="majorBidi" w:cstheme="majorBidi"/>
          <w:bCs/>
          <w:i/>
          <w:iCs/>
          <w:sz w:val="20"/>
        </w:rPr>
      </w:pPr>
    </w:p>
    <w:p w14:paraId="226B2F56" w14:textId="77777777" w:rsidR="00D73C64" w:rsidRPr="00D73C64" w:rsidRDefault="00D73C64" w:rsidP="00D73C64">
      <w:pPr>
        <w:tabs>
          <w:tab w:val="num" w:pos="2160"/>
          <w:tab w:val="num" w:pos="2880"/>
        </w:tabs>
        <w:jc w:val="both"/>
        <w:rPr>
          <w:rFonts w:asciiTheme="majorBidi" w:hAnsiTheme="majorBidi" w:cstheme="majorBidi"/>
          <w:bCs/>
          <w:iCs/>
        </w:rPr>
      </w:pPr>
      <w:r w:rsidRPr="00D73C64">
        <w:rPr>
          <w:rFonts w:asciiTheme="majorBidi" w:hAnsiTheme="majorBidi" w:cstheme="majorBidi"/>
          <w:b/>
          <w:bCs/>
          <w:iCs/>
          <w:highlight w:val="green"/>
          <w:u w:val="single"/>
          <w:lang w:val="en-GB"/>
        </w:rPr>
        <w:t>Agreements:</w:t>
      </w:r>
    </w:p>
    <w:p w14:paraId="0503BFFA" w14:textId="77777777" w:rsidR="00D73C64" w:rsidRPr="00FC7361" w:rsidRDefault="00D73C64" w:rsidP="00D14C02">
      <w:pPr>
        <w:pStyle w:val="ListParagraph"/>
        <w:numPr>
          <w:ilvl w:val="0"/>
          <w:numId w:val="19"/>
        </w:numPr>
        <w:tabs>
          <w:tab w:val="num" w:pos="2160"/>
          <w:tab w:val="num" w:pos="2880"/>
        </w:tabs>
        <w:jc w:val="both"/>
        <w:rPr>
          <w:rFonts w:asciiTheme="majorBidi" w:hAnsiTheme="majorBidi" w:cstheme="majorBidi"/>
          <w:bCs/>
          <w:i/>
          <w:iCs/>
          <w:sz w:val="20"/>
        </w:rPr>
      </w:pPr>
      <w:r w:rsidRPr="00FC7361">
        <w:rPr>
          <w:rFonts w:asciiTheme="majorBidi" w:hAnsiTheme="majorBidi" w:cstheme="majorBidi"/>
          <w:bCs/>
          <w:i/>
          <w:iCs/>
          <w:sz w:val="20"/>
          <w:lang w:val="en-GB"/>
        </w:rPr>
        <w:t xml:space="preserve">Support at least resource allocation type 1 for frequency domain resource assignment for the DCI format scheduling Rel-16 DL URLLC with one of the following modifications compared to Rel-15: </w:t>
      </w:r>
    </w:p>
    <w:p w14:paraId="7BE8831A" w14:textId="77777777" w:rsidR="00D73C64" w:rsidRPr="00FC7361" w:rsidRDefault="00D73C64" w:rsidP="00D14C02">
      <w:pPr>
        <w:pStyle w:val="ListParagraph"/>
        <w:numPr>
          <w:ilvl w:val="1"/>
          <w:numId w:val="19"/>
        </w:numPr>
        <w:tabs>
          <w:tab w:val="num" w:pos="2160"/>
          <w:tab w:val="num" w:pos="2880"/>
        </w:tabs>
        <w:jc w:val="both"/>
        <w:rPr>
          <w:rFonts w:asciiTheme="majorBidi" w:hAnsiTheme="majorBidi" w:cstheme="majorBidi"/>
          <w:bCs/>
          <w:i/>
          <w:iCs/>
          <w:sz w:val="20"/>
        </w:rPr>
      </w:pPr>
      <w:r w:rsidRPr="00FC7361">
        <w:rPr>
          <w:rFonts w:asciiTheme="majorBidi" w:hAnsiTheme="majorBidi" w:cstheme="majorBidi"/>
          <w:b/>
          <w:bCs/>
          <w:i/>
          <w:iCs/>
          <w:sz w:val="20"/>
          <w:lang w:val="en-GB"/>
        </w:rPr>
        <w:t>Option 1</w:t>
      </w:r>
      <w:r w:rsidRPr="00FC7361">
        <w:rPr>
          <w:rFonts w:asciiTheme="majorBidi" w:hAnsiTheme="majorBidi" w:cstheme="majorBidi"/>
          <w:bCs/>
          <w:i/>
          <w:iCs/>
          <w:sz w:val="20"/>
          <w:lang w:val="en-GB"/>
        </w:rPr>
        <w:t>: a single configurable scheduling granularity applicable for both the starting point and length indication</w:t>
      </w:r>
    </w:p>
    <w:p w14:paraId="21FA7FDF" w14:textId="77777777" w:rsidR="00D73C64" w:rsidRPr="00FC7361" w:rsidRDefault="00D73C64" w:rsidP="00D14C02">
      <w:pPr>
        <w:pStyle w:val="ListParagraph"/>
        <w:numPr>
          <w:ilvl w:val="2"/>
          <w:numId w:val="19"/>
        </w:numPr>
        <w:tabs>
          <w:tab w:val="num" w:pos="2880"/>
        </w:tabs>
        <w:jc w:val="both"/>
        <w:rPr>
          <w:rFonts w:asciiTheme="majorBidi" w:hAnsiTheme="majorBidi" w:cstheme="majorBidi"/>
          <w:bCs/>
          <w:i/>
          <w:iCs/>
          <w:sz w:val="20"/>
        </w:rPr>
      </w:pPr>
      <w:r w:rsidRPr="00FC7361">
        <w:rPr>
          <w:rFonts w:asciiTheme="majorBidi" w:hAnsiTheme="majorBidi" w:cstheme="majorBidi"/>
          <w:bCs/>
          <w:i/>
          <w:iCs/>
          <w:sz w:val="20"/>
          <w:lang w:val="en-GB"/>
        </w:rPr>
        <w:t>Alt.1: The scheduling granularity reuses the RBG sizes for RA 0 and can be configured between configuration 1 and 2 as in Rel-15</w:t>
      </w:r>
    </w:p>
    <w:p w14:paraId="22085891" w14:textId="77777777" w:rsidR="00D73C64" w:rsidRPr="00FC7361" w:rsidRDefault="00D73C64" w:rsidP="00D14C02">
      <w:pPr>
        <w:pStyle w:val="ListParagraph"/>
        <w:numPr>
          <w:ilvl w:val="2"/>
          <w:numId w:val="19"/>
        </w:numPr>
        <w:tabs>
          <w:tab w:val="num" w:pos="2880"/>
        </w:tabs>
        <w:jc w:val="both"/>
        <w:rPr>
          <w:rFonts w:asciiTheme="majorBidi" w:hAnsiTheme="majorBidi" w:cstheme="majorBidi"/>
          <w:bCs/>
          <w:i/>
          <w:iCs/>
          <w:sz w:val="20"/>
        </w:rPr>
      </w:pPr>
      <w:r w:rsidRPr="00FC7361">
        <w:rPr>
          <w:rFonts w:asciiTheme="majorBidi" w:hAnsiTheme="majorBidi" w:cstheme="majorBidi"/>
          <w:bCs/>
          <w:i/>
          <w:iCs/>
          <w:sz w:val="20"/>
          <w:lang w:val="en-GB"/>
        </w:rPr>
        <w:t xml:space="preserve">Alt. 2: A new RRC parameter to configure the scheduling granularity  </w:t>
      </w:r>
    </w:p>
    <w:p w14:paraId="353A8240" w14:textId="77777777" w:rsidR="00D73C64" w:rsidRPr="00FC7361" w:rsidRDefault="00D73C64" w:rsidP="00D14C02">
      <w:pPr>
        <w:pStyle w:val="ListParagraph"/>
        <w:numPr>
          <w:ilvl w:val="1"/>
          <w:numId w:val="19"/>
        </w:numPr>
        <w:tabs>
          <w:tab w:val="num" w:pos="2160"/>
          <w:tab w:val="num" w:pos="2880"/>
        </w:tabs>
        <w:jc w:val="both"/>
        <w:rPr>
          <w:rFonts w:asciiTheme="majorBidi" w:hAnsiTheme="majorBidi" w:cstheme="majorBidi"/>
          <w:bCs/>
          <w:i/>
          <w:iCs/>
          <w:sz w:val="20"/>
        </w:rPr>
      </w:pPr>
      <w:r w:rsidRPr="00FC7361">
        <w:rPr>
          <w:rFonts w:asciiTheme="majorBidi" w:hAnsiTheme="majorBidi" w:cstheme="majorBidi"/>
          <w:b/>
          <w:bCs/>
          <w:i/>
          <w:iCs/>
          <w:sz w:val="20"/>
          <w:lang w:val="en-GB"/>
        </w:rPr>
        <w:t>Option 2</w:t>
      </w:r>
      <w:r w:rsidRPr="00FC7361">
        <w:rPr>
          <w:rFonts w:asciiTheme="majorBidi" w:hAnsiTheme="majorBidi" w:cstheme="majorBidi"/>
          <w:bCs/>
          <w:i/>
          <w:iCs/>
          <w:sz w:val="20"/>
          <w:lang w:val="en-GB"/>
        </w:rPr>
        <w:t xml:space="preserve">: Separate configurable starting point granularity and length indication granularity </w:t>
      </w:r>
    </w:p>
    <w:p w14:paraId="64147DB6" w14:textId="543C63FF" w:rsidR="00D73C64" w:rsidRDefault="00D73C64" w:rsidP="00487EB7">
      <w:pPr>
        <w:tabs>
          <w:tab w:val="num" w:pos="2160"/>
          <w:tab w:val="num" w:pos="2880"/>
        </w:tabs>
        <w:jc w:val="both"/>
        <w:rPr>
          <w:rFonts w:asciiTheme="majorBidi" w:hAnsiTheme="majorBidi" w:cstheme="majorBidi"/>
          <w:bCs/>
          <w:iCs/>
        </w:rPr>
      </w:pPr>
    </w:p>
    <w:p w14:paraId="7C61D04B" w14:textId="77777777" w:rsidR="001D2553" w:rsidRPr="001D2553" w:rsidRDefault="001D2553" w:rsidP="001D2553">
      <w:pPr>
        <w:tabs>
          <w:tab w:val="num" w:pos="2160"/>
          <w:tab w:val="num" w:pos="2880"/>
        </w:tabs>
        <w:jc w:val="both"/>
        <w:rPr>
          <w:rFonts w:asciiTheme="majorBidi" w:hAnsiTheme="majorBidi" w:cstheme="majorBidi"/>
          <w:bCs/>
          <w:iCs/>
        </w:rPr>
      </w:pPr>
      <w:r w:rsidRPr="001D2553">
        <w:rPr>
          <w:rFonts w:asciiTheme="majorBidi" w:hAnsiTheme="majorBidi" w:cstheme="majorBidi"/>
          <w:b/>
          <w:bCs/>
          <w:iCs/>
          <w:highlight w:val="green"/>
          <w:u w:val="single"/>
          <w:lang w:val="en-GB"/>
        </w:rPr>
        <w:t>Agreements:</w:t>
      </w:r>
    </w:p>
    <w:p w14:paraId="4F80D4A4" w14:textId="77777777" w:rsidR="001D2553" w:rsidRPr="00D11FA0" w:rsidRDefault="001D2553" w:rsidP="00D14C02">
      <w:pPr>
        <w:pStyle w:val="ListParagraph"/>
        <w:numPr>
          <w:ilvl w:val="0"/>
          <w:numId w:val="19"/>
        </w:numPr>
        <w:tabs>
          <w:tab w:val="num" w:pos="2160"/>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 xml:space="preserve">Take the following framework as the working assumption for defining the limit on the maximum number of non-overlapping CCEs for channel estimation per PDCCH monitoring span: </w:t>
      </w:r>
    </w:p>
    <w:p w14:paraId="1C6A7A1C" w14:textId="77777777" w:rsidR="001D2553" w:rsidRPr="00D11FA0" w:rsidRDefault="001D2553" w:rsidP="00D14C02">
      <w:pPr>
        <w:pStyle w:val="ListParagraph"/>
        <w:numPr>
          <w:ilvl w:val="1"/>
          <w:numId w:val="19"/>
        </w:numPr>
        <w:tabs>
          <w:tab w:val="num" w:pos="2160"/>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 xml:space="preserve">PDCCH monitoring span follows the definition in UE feature 3-5b as a starting point  </w:t>
      </w:r>
    </w:p>
    <w:p w14:paraId="3BDB588B" w14:textId="77777777" w:rsidR="001D2553" w:rsidRPr="00D11FA0" w:rsidRDefault="001D2553" w:rsidP="00D14C02">
      <w:pPr>
        <w:pStyle w:val="ListParagraph"/>
        <w:numPr>
          <w:ilvl w:val="2"/>
          <w:numId w:val="19"/>
        </w:numPr>
        <w:tabs>
          <w:tab w:val="num" w:pos="2880"/>
        </w:tabs>
        <w:jc w:val="both"/>
        <w:rPr>
          <w:rFonts w:asciiTheme="majorBidi" w:hAnsiTheme="majorBidi" w:cstheme="majorBidi"/>
          <w:bCs/>
          <w:i/>
          <w:iCs/>
        </w:rPr>
      </w:pPr>
      <w:r w:rsidRPr="00D11FA0">
        <w:rPr>
          <w:rFonts w:asciiTheme="majorBidi" w:hAnsiTheme="majorBidi" w:cstheme="majorBidi"/>
          <w:bCs/>
          <w:i/>
          <w:iCs/>
          <w:sz w:val="20"/>
          <w:lang w:val="en-GB"/>
        </w:rPr>
        <w:t xml:space="preserve">FFS whether any modification needed </w:t>
      </w:r>
      <w:r w:rsidRPr="00D11FA0">
        <w:rPr>
          <w:rFonts w:asciiTheme="majorBidi" w:hAnsiTheme="majorBidi" w:cstheme="majorBidi"/>
          <w:bCs/>
          <w:i/>
          <w:iCs/>
          <w:lang w:val="en-GB"/>
        </w:rPr>
        <w:t xml:space="preserve"> </w:t>
      </w:r>
    </w:p>
    <w:p w14:paraId="2BD500CF" w14:textId="59D74389" w:rsidR="001D2553" w:rsidRDefault="001D2553" w:rsidP="00487EB7">
      <w:pPr>
        <w:tabs>
          <w:tab w:val="num" w:pos="2160"/>
          <w:tab w:val="num" w:pos="2880"/>
        </w:tabs>
        <w:jc w:val="both"/>
        <w:rPr>
          <w:rFonts w:asciiTheme="majorBidi" w:hAnsiTheme="majorBidi" w:cstheme="majorBidi"/>
          <w:bCs/>
          <w:iCs/>
        </w:rPr>
      </w:pPr>
    </w:p>
    <w:p w14:paraId="3246D395" w14:textId="0797ADEC" w:rsidR="001D2553" w:rsidRDefault="001D2553" w:rsidP="00487EB7">
      <w:pPr>
        <w:tabs>
          <w:tab w:val="num" w:pos="2160"/>
          <w:tab w:val="num" w:pos="2880"/>
        </w:tabs>
        <w:jc w:val="both"/>
        <w:rPr>
          <w:rFonts w:asciiTheme="majorBidi" w:hAnsiTheme="majorBidi" w:cstheme="majorBidi"/>
          <w:bCs/>
          <w:iCs/>
        </w:rPr>
      </w:pPr>
      <w:r w:rsidRPr="001D2553">
        <w:rPr>
          <w:rFonts w:asciiTheme="majorBidi" w:hAnsiTheme="majorBidi" w:cstheme="majorBidi"/>
          <w:b/>
          <w:bCs/>
          <w:iCs/>
          <w:highlight w:val="green"/>
          <w:u w:val="single"/>
          <w:lang w:val="en-GB"/>
        </w:rPr>
        <w:t>Agreements:</w:t>
      </w:r>
    </w:p>
    <w:p w14:paraId="5FB7115D" w14:textId="77777777" w:rsidR="001D2553" w:rsidRPr="00D11FA0" w:rsidRDefault="001D2553" w:rsidP="00D14C02">
      <w:pPr>
        <w:numPr>
          <w:ilvl w:val="0"/>
          <w:numId w:val="20"/>
        </w:numPr>
        <w:tabs>
          <w:tab w:val="num" w:pos="2160"/>
          <w:tab w:val="num" w:pos="2880"/>
        </w:tabs>
        <w:jc w:val="both"/>
        <w:rPr>
          <w:rFonts w:asciiTheme="majorBidi" w:hAnsiTheme="majorBidi" w:cstheme="majorBidi"/>
          <w:bCs/>
          <w:i/>
          <w:iCs/>
        </w:rPr>
      </w:pPr>
      <w:r w:rsidRPr="00D11FA0">
        <w:rPr>
          <w:rFonts w:asciiTheme="majorBidi" w:hAnsiTheme="majorBidi" w:cstheme="majorBidi"/>
          <w:bCs/>
          <w:i/>
          <w:iCs/>
          <w:lang w:val="en-GB"/>
        </w:rPr>
        <w:t xml:space="preserve">The per-CC limit on the maximum number of non-overlapping CCEs for channel estimation per PDCCH monitoring span for a certain combination (X, Y, </w:t>
      </w:r>
      <w:r w:rsidRPr="00D11FA0">
        <w:rPr>
          <w:rFonts w:asciiTheme="majorBidi" w:hAnsiTheme="majorBidi" w:cstheme="majorBidi"/>
          <w:bCs/>
          <w:i/>
          <w:iCs/>
          <w:lang w:val="en-GB"/>
        </w:rPr>
        <w:sym w:font="Symbol" w:char="F06D"/>
      </w:r>
      <w:r w:rsidRPr="00D11FA0">
        <w:rPr>
          <w:rFonts w:asciiTheme="majorBidi" w:hAnsiTheme="majorBidi" w:cstheme="majorBidi"/>
          <w:bCs/>
          <w:i/>
          <w:iCs/>
          <w:lang w:val="en-GB"/>
        </w:rPr>
        <w:t>) is C</w:t>
      </w:r>
    </w:p>
    <w:p w14:paraId="0D2215A6" w14:textId="77777777" w:rsidR="001D2553" w:rsidRPr="00D11FA0" w:rsidRDefault="001D2553" w:rsidP="00D14C02">
      <w:pPr>
        <w:pStyle w:val="ListParagraph"/>
        <w:numPr>
          <w:ilvl w:val="1"/>
          <w:numId w:val="20"/>
        </w:numPr>
        <w:tabs>
          <w:tab w:val="num" w:pos="2160"/>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FFS aspects related to UE capability</w:t>
      </w:r>
    </w:p>
    <w:p w14:paraId="6FA53441" w14:textId="77777777" w:rsidR="001D2553" w:rsidRPr="00D11FA0" w:rsidRDefault="001D2553" w:rsidP="00D14C02">
      <w:pPr>
        <w:pStyle w:val="ListParagraph"/>
        <w:numPr>
          <w:ilvl w:val="1"/>
          <w:numId w:val="20"/>
        </w:numPr>
        <w:tabs>
          <w:tab w:val="num" w:pos="2160"/>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lastRenderedPageBreak/>
        <w:t xml:space="preserve">FFS the limit C on the maximum number of non-overlapping CCEs for channel estimation per PDCCH monitoring span is same or different across different spans within a slot </w:t>
      </w:r>
    </w:p>
    <w:p w14:paraId="2FD28F3C" w14:textId="3BE30729" w:rsidR="001D2553" w:rsidRPr="00D11FA0" w:rsidRDefault="001D2553" w:rsidP="00D14C02">
      <w:pPr>
        <w:pStyle w:val="ListParagraph"/>
        <w:numPr>
          <w:ilvl w:val="1"/>
          <w:numId w:val="20"/>
        </w:numPr>
        <w:tabs>
          <w:tab w:val="num" w:pos="2160"/>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Example of combinations as shown in the following table:</w:t>
      </w:r>
    </w:p>
    <w:p w14:paraId="0F96943A" w14:textId="621BB6BC" w:rsidR="001D2553" w:rsidRPr="00D11FA0" w:rsidRDefault="001D2553" w:rsidP="001D2553">
      <w:pPr>
        <w:tabs>
          <w:tab w:val="num" w:pos="2160"/>
          <w:tab w:val="num" w:pos="2880"/>
        </w:tabs>
        <w:ind w:left="1440"/>
        <w:rPr>
          <w:rFonts w:asciiTheme="majorBidi" w:hAnsiTheme="majorBidi" w:cstheme="majorBidi"/>
          <w:bCs/>
          <w:i/>
          <w:iCs/>
        </w:rPr>
      </w:pPr>
      <w:r w:rsidRPr="00D11FA0">
        <w:rPr>
          <w:rFonts w:asciiTheme="majorBidi" w:hAnsiTheme="majorBidi" w:cstheme="majorBidi"/>
          <w:bCs/>
          <w:i/>
          <w:iCs/>
          <w:noProof/>
        </w:rPr>
        <w:drawing>
          <wp:inline distT="0" distB="0" distL="0" distR="0" wp14:anchorId="54BBF1BE" wp14:editId="737ECA17">
            <wp:extent cx="5426075" cy="172529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6075" cy="1725295"/>
                    </a:xfrm>
                    <a:prstGeom prst="rect">
                      <a:avLst/>
                    </a:prstGeom>
                    <a:noFill/>
                  </pic:spPr>
                </pic:pic>
              </a:graphicData>
            </a:graphic>
          </wp:inline>
        </w:drawing>
      </w:r>
    </w:p>
    <w:p w14:paraId="3BCDC0BF" w14:textId="77777777" w:rsidR="001D2553" w:rsidRPr="00D11FA0" w:rsidRDefault="001D2553" w:rsidP="00D14C02">
      <w:pPr>
        <w:pStyle w:val="ListParagraph"/>
        <w:numPr>
          <w:ilvl w:val="2"/>
          <w:numId w:val="20"/>
        </w:numPr>
        <w:tabs>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FFS the value of C</w:t>
      </w:r>
    </w:p>
    <w:p w14:paraId="5F6831F5" w14:textId="77777777" w:rsidR="001D2553" w:rsidRPr="00D11FA0" w:rsidRDefault="001D2553" w:rsidP="00D14C02">
      <w:pPr>
        <w:pStyle w:val="ListParagraph"/>
        <w:numPr>
          <w:ilvl w:val="3"/>
          <w:numId w:val="20"/>
        </w:numPr>
        <w:jc w:val="both"/>
        <w:rPr>
          <w:rFonts w:asciiTheme="majorBidi" w:hAnsiTheme="majorBidi" w:cstheme="majorBidi"/>
          <w:bCs/>
          <w:i/>
          <w:iCs/>
          <w:sz w:val="20"/>
        </w:rPr>
      </w:pPr>
      <w:r w:rsidRPr="00D11FA0">
        <w:rPr>
          <w:rFonts w:asciiTheme="majorBidi" w:hAnsiTheme="majorBidi" w:cstheme="majorBidi"/>
          <w:bCs/>
          <w:i/>
          <w:iCs/>
          <w:sz w:val="20"/>
          <w:lang w:val="en-GB"/>
        </w:rPr>
        <w:t xml:space="preserve">Companies are encouraged to report the potential aspects that have impact on the value of C </w:t>
      </w:r>
    </w:p>
    <w:p w14:paraId="3B51644A" w14:textId="77777777" w:rsidR="001D2553" w:rsidRPr="00D11FA0" w:rsidRDefault="001D2553" w:rsidP="00D14C02">
      <w:pPr>
        <w:pStyle w:val="ListParagraph"/>
        <w:numPr>
          <w:ilvl w:val="2"/>
          <w:numId w:val="20"/>
        </w:numPr>
        <w:tabs>
          <w:tab w:val="num" w:pos="2880"/>
        </w:tabs>
        <w:jc w:val="both"/>
        <w:rPr>
          <w:rFonts w:asciiTheme="majorBidi" w:hAnsiTheme="majorBidi" w:cstheme="majorBidi"/>
          <w:bCs/>
          <w:i/>
          <w:iCs/>
          <w:sz w:val="20"/>
        </w:rPr>
      </w:pPr>
      <w:r w:rsidRPr="00D11FA0">
        <w:rPr>
          <w:rFonts w:asciiTheme="majorBidi" w:hAnsiTheme="majorBidi" w:cstheme="majorBidi"/>
          <w:bCs/>
          <w:i/>
          <w:iCs/>
          <w:sz w:val="20"/>
          <w:lang w:val="en-GB"/>
        </w:rPr>
        <w:t xml:space="preserve">FFS interaction with Rel-15-based limitation, e.g., whether to increase the limit for PDCCH monitoring case 1 under the increased PDCCH monitoring capability on the maximum number of non-overlapped CCEs per slot for channel estimation  </w:t>
      </w:r>
    </w:p>
    <w:p w14:paraId="58C2DA49" w14:textId="77777777" w:rsidR="001D2553" w:rsidRDefault="001D2553" w:rsidP="00487EB7">
      <w:pPr>
        <w:tabs>
          <w:tab w:val="num" w:pos="2160"/>
          <w:tab w:val="num" w:pos="2880"/>
        </w:tabs>
        <w:jc w:val="both"/>
        <w:rPr>
          <w:rFonts w:asciiTheme="majorBidi" w:hAnsiTheme="majorBidi" w:cstheme="majorBidi"/>
          <w:bCs/>
          <w:iCs/>
        </w:rPr>
      </w:pPr>
    </w:p>
    <w:p w14:paraId="20E46DF7" w14:textId="16919273" w:rsidR="00511C9C" w:rsidRDefault="000D7D16" w:rsidP="00DE44D6">
      <w:pPr>
        <w:tabs>
          <w:tab w:val="num" w:pos="1800"/>
        </w:tabs>
        <w:jc w:val="both"/>
        <w:rPr>
          <w:rFonts w:asciiTheme="majorBidi" w:hAnsiTheme="majorBidi" w:cstheme="majorBidi"/>
          <w:bCs/>
          <w:iCs/>
          <w:szCs w:val="22"/>
        </w:rPr>
      </w:pPr>
      <w:r>
        <w:rPr>
          <w:rFonts w:asciiTheme="majorBidi" w:hAnsiTheme="majorBidi" w:cstheme="majorBidi"/>
          <w:bCs/>
          <w:iCs/>
          <w:szCs w:val="22"/>
        </w:rPr>
        <w:t>Then</w:t>
      </w:r>
      <w:r w:rsidR="00511C9C">
        <w:rPr>
          <w:rFonts w:asciiTheme="majorBidi" w:hAnsiTheme="majorBidi" w:cstheme="majorBidi"/>
          <w:bCs/>
          <w:iCs/>
          <w:szCs w:val="22"/>
        </w:rPr>
        <w:t>, in RAN1 #98, the following agreements were achieved:</w:t>
      </w:r>
    </w:p>
    <w:p w14:paraId="44783F9E" w14:textId="77777777" w:rsidR="00511C9C" w:rsidRPr="00511C9C" w:rsidRDefault="00511C9C" w:rsidP="00511C9C">
      <w:pPr>
        <w:rPr>
          <w:b/>
          <w:u w:val="single"/>
          <w:lang w:eastAsia="x-none"/>
        </w:rPr>
      </w:pPr>
      <w:r w:rsidRPr="00511C9C">
        <w:rPr>
          <w:b/>
          <w:highlight w:val="green"/>
          <w:u w:val="single"/>
          <w:lang w:eastAsia="x-none"/>
        </w:rPr>
        <w:t>Agreements:</w:t>
      </w:r>
    </w:p>
    <w:p w14:paraId="542D72EE" w14:textId="77777777" w:rsidR="00511C9C" w:rsidRPr="00511C9C" w:rsidRDefault="00511C9C" w:rsidP="00D14C02">
      <w:pPr>
        <w:numPr>
          <w:ilvl w:val="0"/>
          <w:numId w:val="22"/>
        </w:numPr>
        <w:overflowPunct/>
        <w:autoSpaceDE/>
        <w:autoSpaceDN/>
        <w:adjustRightInd/>
        <w:spacing w:after="0"/>
        <w:textAlignment w:val="auto"/>
        <w:rPr>
          <w:i/>
          <w:lang w:eastAsia="zh-CN"/>
        </w:rPr>
      </w:pPr>
      <w:r w:rsidRPr="00511C9C">
        <w:rPr>
          <w:i/>
          <w:lang w:eastAsia="zh-CN"/>
        </w:rPr>
        <w:t>Introduce one new DCI format for DL scheduling and one new DCI format for UL scheduling with configurable sizes for some fields in Rel-16.</w:t>
      </w:r>
    </w:p>
    <w:p w14:paraId="3FCA1A80" w14:textId="77777777" w:rsidR="00511C9C" w:rsidRDefault="00511C9C" w:rsidP="00511C9C">
      <w:pPr>
        <w:rPr>
          <w:b/>
          <w:bCs/>
          <w:lang w:eastAsia="zh-CN"/>
        </w:rPr>
      </w:pPr>
    </w:p>
    <w:p w14:paraId="3E2B0C2C" w14:textId="3BD39A10" w:rsidR="00511C9C" w:rsidRPr="00511C9C" w:rsidRDefault="00511C9C" w:rsidP="00511C9C">
      <w:pPr>
        <w:rPr>
          <w:b/>
          <w:highlight w:val="green"/>
          <w:u w:val="single"/>
        </w:rPr>
      </w:pPr>
      <w:r w:rsidRPr="00511C9C">
        <w:rPr>
          <w:b/>
          <w:highlight w:val="green"/>
          <w:u w:val="single"/>
        </w:rPr>
        <w:t>Agreements:</w:t>
      </w:r>
    </w:p>
    <w:p w14:paraId="147ED685" w14:textId="77777777" w:rsidR="00511C9C" w:rsidRPr="00511C9C" w:rsidRDefault="00511C9C" w:rsidP="00D14C02">
      <w:pPr>
        <w:pStyle w:val="ListParagraph"/>
        <w:numPr>
          <w:ilvl w:val="0"/>
          <w:numId w:val="22"/>
        </w:numPr>
        <w:spacing w:after="60"/>
        <w:rPr>
          <w:rFonts w:ascii="Times New Roman" w:hAnsi="Times New Roman"/>
          <w:i/>
          <w:iCs/>
          <w:color w:val="000000"/>
          <w:kern w:val="2"/>
          <w:sz w:val="20"/>
          <w:lang w:eastAsia="zh-CN"/>
        </w:rPr>
      </w:pPr>
      <w:r w:rsidRPr="00511C9C">
        <w:rPr>
          <w:rFonts w:ascii="Times New Roman" w:hAnsi="Times New Roman"/>
          <w:i/>
          <w:iCs/>
          <w:color w:val="000000"/>
          <w:kern w:val="2"/>
          <w:sz w:val="20"/>
          <w:lang w:eastAsia="zh-CN"/>
        </w:rPr>
        <w:t xml:space="preserve">Support (2, 2) (4, 3) (7, 3) defined in UE feature 3-5b as the combination (X, Y) for Rel-16 PDCCH monitoring capability on the per-CC limit on the maximum number of non-overlapping CCEs   for URLLC.    </w:t>
      </w:r>
    </w:p>
    <w:p w14:paraId="60F85A52" w14:textId="77777777" w:rsidR="00511C9C" w:rsidRPr="00511C9C" w:rsidRDefault="00511C9C" w:rsidP="00D14C02">
      <w:pPr>
        <w:pStyle w:val="ListParagraph"/>
        <w:numPr>
          <w:ilvl w:val="1"/>
          <w:numId w:val="22"/>
        </w:numPr>
        <w:snapToGrid w:val="0"/>
        <w:spacing w:after="120"/>
        <w:contextualSpacing/>
        <w:jc w:val="both"/>
        <w:rPr>
          <w:rFonts w:ascii="Times New Roman" w:hAnsi="Times New Roman"/>
          <w:i/>
          <w:iCs/>
          <w:color w:val="000000"/>
          <w:kern w:val="2"/>
          <w:sz w:val="20"/>
          <w:lang w:eastAsia="zh-CN"/>
        </w:rPr>
      </w:pPr>
      <w:r w:rsidRPr="00511C9C">
        <w:rPr>
          <w:rFonts w:ascii="Times New Roman" w:hAnsi="Times New Roman"/>
          <w:i/>
          <w:iCs/>
          <w:color w:val="000000"/>
          <w:kern w:val="2"/>
          <w:sz w:val="20"/>
          <w:lang w:eastAsia="zh-CN"/>
        </w:rPr>
        <w:t>Combination (2, 1) (4, 1) (4, 2) (7, 1) (7, 2) are not additionally introduced</w:t>
      </w:r>
    </w:p>
    <w:p w14:paraId="32ADE9DC" w14:textId="77777777" w:rsidR="00511C9C" w:rsidRPr="00541652" w:rsidRDefault="00511C9C" w:rsidP="00D14C02">
      <w:pPr>
        <w:pStyle w:val="ListParagraph"/>
        <w:numPr>
          <w:ilvl w:val="1"/>
          <w:numId w:val="22"/>
        </w:numPr>
        <w:snapToGrid w:val="0"/>
        <w:spacing w:after="120"/>
        <w:contextualSpacing/>
        <w:jc w:val="both"/>
        <w:rPr>
          <w:rFonts w:ascii="Times New Roman" w:hAnsi="Times New Roman"/>
          <w:i/>
          <w:iCs/>
          <w:color w:val="000000"/>
          <w:kern w:val="2"/>
          <w:sz w:val="20"/>
          <w:lang w:eastAsia="zh-CN"/>
        </w:rPr>
      </w:pPr>
      <w:r w:rsidRPr="00541652">
        <w:rPr>
          <w:rFonts w:ascii="Times New Roman" w:hAnsi="Times New Roman"/>
          <w:i/>
          <w:iCs/>
          <w:color w:val="000000"/>
          <w:kern w:val="2"/>
          <w:sz w:val="20"/>
          <w:lang w:eastAsia="zh-CN"/>
        </w:rPr>
        <w:t xml:space="preserve">FFS (3, 3) or (3,2) </w:t>
      </w:r>
    </w:p>
    <w:p w14:paraId="54F1703E" w14:textId="77777777" w:rsidR="00511C9C" w:rsidRPr="00511C9C" w:rsidRDefault="00511C9C" w:rsidP="00D14C02">
      <w:pPr>
        <w:pStyle w:val="ListParagraph"/>
        <w:numPr>
          <w:ilvl w:val="1"/>
          <w:numId w:val="22"/>
        </w:numPr>
        <w:snapToGrid w:val="0"/>
        <w:spacing w:after="120"/>
        <w:contextualSpacing/>
        <w:jc w:val="both"/>
        <w:rPr>
          <w:rFonts w:ascii="Times New Roman" w:hAnsi="Times New Roman"/>
          <w:i/>
          <w:iCs/>
          <w:color w:val="000000"/>
          <w:kern w:val="2"/>
          <w:sz w:val="20"/>
          <w:lang w:eastAsia="zh-CN"/>
        </w:rPr>
      </w:pPr>
      <w:r w:rsidRPr="00511C9C">
        <w:rPr>
          <w:rFonts w:ascii="Times New Roman" w:hAnsi="Times New Roman"/>
          <w:i/>
          <w:iCs/>
          <w:color w:val="000000"/>
          <w:kern w:val="2"/>
          <w:sz w:val="20"/>
          <w:lang w:eastAsia="zh-CN"/>
        </w:rPr>
        <w:t xml:space="preserve">UE reports the supported combinations per SCS </w:t>
      </w:r>
    </w:p>
    <w:p w14:paraId="4D6BD3C3" w14:textId="77777777" w:rsidR="00511C9C" w:rsidRPr="00511C9C" w:rsidRDefault="00511C9C" w:rsidP="00D14C02">
      <w:pPr>
        <w:pStyle w:val="ListParagraph"/>
        <w:numPr>
          <w:ilvl w:val="1"/>
          <w:numId w:val="22"/>
        </w:numPr>
        <w:snapToGrid w:val="0"/>
        <w:spacing w:after="120"/>
        <w:contextualSpacing/>
        <w:jc w:val="both"/>
        <w:rPr>
          <w:rFonts w:ascii="Times New Roman" w:hAnsi="Times New Roman"/>
          <w:i/>
          <w:iCs/>
          <w:color w:val="000000"/>
          <w:kern w:val="2"/>
          <w:sz w:val="20"/>
          <w:lang w:eastAsia="zh-CN"/>
        </w:rPr>
      </w:pPr>
      <w:r w:rsidRPr="00511C9C">
        <w:rPr>
          <w:rFonts w:ascii="Times New Roman" w:hAnsi="Times New Roman"/>
          <w:i/>
          <w:iCs/>
          <w:color w:val="000000"/>
          <w:kern w:val="2"/>
          <w:sz w:val="20"/>
          <w:lang w:eastAsia="zh-CN"/>
        </w:rPr>
        <w:t>(2, 2)(4, 3)(7, 3) applicable for 15 kHz and 30 kHz</w:t>
      </w:r>
    </w:p>
    <w:p w14:paraId="0B76A3C6" w14:textId="743F9CD0" w:rsidR="00511C9C" w:rsidRPr="00541652" w:rsidRDefault="00511C9C" w:rsidP="00D14C02">
      <w:pPr>
        <w:pStyle w:val="ListParagraph"/>
        <w:numPr>
          <w:ilvl w:val="1"/>
          <w:numId w:val="22"/>
        </w:numPr>
        <w:snapToGrid w:val="0"/>
        <w:spacing w:after="120"/>
        <w:contextualSpacing/>
        <w:jc w:val="both"/>
        <w:rPr>
          <w:rFonts w:ascii="Times New Roman" w:hAnsi="Times New Roman"/>
          <w:i/>
          <w:iCs/>
          <w:color w:val="000000"/>
          <w:kern w:val="2"/>
          <w:sz w:val="20"/>
          <w:lang w:eastAsia="zh-CN"/>
        </w:rPr>
      </w:pPr>
      <w:r w:rsidRPr="00541652">
        <w:rPr>
          <w:rFonts w:ascii="Times New Roman" w:hAnsi="Times New Roman"/>
          <w:i/>
          <w:iCs/>
          <w:color w:val="000000"/>
          <w:kern w:val="2"/>
          <w:sz w:val="20"/>
          <w:lang w:eastAsia="zh-CN"/>
        </w:rPr>
        <w:t>FFS for 60 kHz and 120 kHz</w:t>
      </w:r>
    </w:p>
    <w:p w14:paraId="476FBFCA" w14:textId="77777777" w:rsidR="00511C9C" w:rsidRPr="00511C9C" w:rsidRDefault="00511C9C" w:rsidP="00511C9C">
      <w:pPr>
        <w:pStyle w:val="ListParagraph"/>
        <w:snapToGrid w:val="0"/>
        <w:spacing w:after="120"/>
        <w:ind w:left="1800"/>
        <w:contextualSpacing/>
        <w:jc w:val="both"/>
        <w:rPr>
          <w:rFonts w:ascii="Times New Roman" w:hAnsi="Times New Roman"/>
          <w:i/>
          <w:iCs/>
          <w:color w:val="000000"/>
          <w:kern w:val="2"/>
          <w:sz w:val="20"/>
          <w:highlight w:val="yellow"/>
          <w:lang w:eastAsia="zh-CN"/>
        </w:rPr>
      </w:pPr>
    </w:p>
    <w:p w14:paraId="617587CB" w14:textId="77777777" w:rsidR="00511C9C" w:rsidRPr="00511C9C" w:rsidRDefault="00511C9C" w:rsidP="00511C9C">
      <w:pPr>
        <w:rPr>
          <w:b/>
          <w:u w:val="single"/>
        </w:rPr>
      </w:pPr>
      <w:r w:rsidRPr="00511C9C">
        <w:rPr>
          <w:b/>
          <w:highlight w:val="green"/>
          <w:u w:val="single"/>
        </w:rPr>
        <w:t>Agreements:</w:t>
      </w:r>
    </w:p>
    <w:p w14:paraId="74E75EAB" w14:textId="77777777" w:rsidR="00511C9C" w:rsidRPr="00511C9C" w:rsidRDefault="00511C9C" w:rsidP="00D14C02">
      <w:pPr>
        <w:pStyle w:val="ListParagraph"/>
        <w:numPr>
          <w:ilvl w:val="0"/>
          <w:numId w:val="22"/>
        </w:numPr>
        <w:spacing w:beforeLines="100" w:before="240"/>
        <w:jc w:val="both"/>
        <w:rPr>
          <w:rFonts w:ascii="Times New Roman" w:hAnsi="Times New Roman"/>
          <w:i/>
          <w:iCs/>
          <w:sz w:val="20"/>
          <w:szCs w:val="20"/>
          <w:lang w:eastAsia="zh-CN"/>
        </w:rPr>
      </w:pPr>
      <w:r w:rsidRPr="00511C9C">
        <w:rPr>
          <w:rFonts w:ascii="Times New Roman" w:hAnsi="Times New Roman"/>
          <w:i/>
          <w:iCs/>
          <w:sz w:val="20"/>
          <w:szCs w:val="20"/>
          <w:lang w:eastAsia="zh-CN"/>
        </w:rPr>
        <w:t xml:space="preserve">For a Rel-16 UE supporting enhanced PDCCH monitoring capability, down-select between option 1 and option 2: </w:t>
      </w:r>
    </w:p>
    <w:p w14:paraId="6B27C3D9" w14:textId="77777777" w:rsidR="00511C9C" w:rsidRPr="00511C9C" w:rsidRDefault="00511C9C" w:rsidP="00D14C02">
      <w:pPr>
        <w:pStyle w:val="BodyText"/>
        <w:numPr>
          <w:ilvl w:val="1"/>
          <w:numId w:val="22"/>
        </w:numPr>
        <w:overflowPunct/>
        <w:autoSpaceDE/>
        <w:autoSpaceDN/>
        <w:adjustRightInd/>
        <w:textAlignment w:val="auto"/>
        <w:rPr>
          <w:rFonts w:ascii="Times New Roman" w:hAnsi="Times New Roman"/>
          <w:i/>
          <w:iCs/>
          <w:szCs w:val="20"/>
          <w:lang w:eastAsia="zh-CN"/>
        </w:rPr>
      </w:pPr>
      <w:r w:rsidRPr="00511C9C">
        <w:rPr>
          <w:rFonts w:ascii="Times New Roman" w:hAnsi="Times New Roman"/>
          <w:b/>
          <w:i/>
          <w:iCs/>
          <w:szCs w:val="20"/>
          <w:lang w:eastAsia="zh-CN"/>
        </w:rPr>
        <w:t>Option 1</w:t>
      </w:r>
      <w:r w:rsidRPr="00511C9C">
        <w:rPr>
          <w:rFonts w:ascii="Times New Roman" w:hAnsi="Times New Roman"/>
          <w:i/>
          <w:iCs/>
          <w:szCs w:val="20"/>
          <w:lang w:eastAsia="zh-CN"/>
        </w:rPr>
        <w:t>: PDCCH monitoring based on Rel-15 capability for eMBB and PDCCH monitoring based on Rel-16 capability for URLLC can be configured to a UE on the same carrier</w:t>
      </w:r>
    </w:p>
    <w:p w14:paraId="6F91543D" w14:textId="77777777" w:rsidR="00511C9C" w:rsidRPr="00511C9C" w:rsidRDefault="00511C9C" w:rsidP="00D14C02">
      <w:pPr>
        <w:pStyle w:val="BodyText"/>
        <w:numPr>
          <w:ilvl w:val="2"/>
          <w:numId w:val="22"/>
        </w:numPr>
        <w:overflowPunct/>
        <w:autoSpaceDE/>
        <w:autoSpaceDN/>
        <w:adjustRightInd/>
        <w:textAlignment w:val="auto"/>
        <w:rPr>
          <w:rFonts w:ascii="Times New Roman" w:hAnsi="Times New Roman"/>
          <w:i/>
          <w:iCs/>
          <w:szCs w:val="20"/>
          <w:lang w:eastAsia="zh-CN"/>
        </w:rPr>
      </w:pPr>
      <w:r w:rsidRPr="00511C9C">
        <w:rPr>
          <w:rFonts w:ascii="Times New Roman" w:hAnsi="Times New Roman"/>
          <w:i/>
          <w:iCs/>
          <w:szCs w:val="20"/>
          <w:lang w:eastAsia="zh-CN"/>
        </w:rPr>
        <w:t xml:space="preserve">UE monitors PDCCH for eMBB following reported Rel-15 capability, and monitors PDCCH for URLLC following reported Rel-16 capability </w:t>
      </w:r>
    </w:p>
    <w:p w14:paraId="3559A478" w14:textId="77777777" w:rsidR="00511C9C" w:rsidRPr="00511C9C" w:rsidRDefault="00511C9C" w:rsidP="00D14C02">
      <w:pPr>
        <w:pStyle w:val="BodyText"/>
        <w:numPr>
          <w:ilvl w:val="2"/>
          <w:numId w:val="22"/>
        </w:numPr>
        <w:overflowPunct/>
        <w:autoSpaceDE/>
        <w:autoSpaceDN/>
        <w:adjustRightInd/>
        <w:textAlignment w:val="auto"/>
        <w:rPr>
          <w:rFonts w:ascii="Times New Roman" w:hAnsi="Times New Roman"/>
          <w:i/>
          <w:iCs/>
          <w:szCs w:val="20"/>
          <w:lang w:eastAsia="zh-CN"/>
        </w:rPr>
      </w:pPr>
      <w:r w:rsidRPr="00511C9C">
        <w:rPr>
          <w:rFonts w:ascii="Times New Roman" w:hAnsi="Times New Roman"/>
          <w:i/>
          <w:iCs/>
          <w:szCs w:val="20"/>
          <w:lang w:eastAsia="zh-CN"/>
        </w:rPr>
        <w:t xml:space="preserve">For Rel-16 PDCCH monitoring capability, the limit C on the maximum number of non-overlapping CCEs for channel estimation per PDCCH monitoring span is the same across different spans within a slot. Each span for Rel-16 PDCCH only cover USS for URLLC </w:t>
      </w:r>
      <w:r w:rsidRPr="00541652">
        <w:rPr>
          <w:rFonts w:ascii="Times New Roman" w:hAnsi="Times New Roman"/>
          <w:i/>
          <w:iCs/>
          <w:szCs w:val="20"/>
          <w:lang w:eastAsia="zh-CN"/>
        </w:rPr>
        <w:t>(FFS for CSS)</w:t>
      </w:r>
    </w:p>
    <w:p w14:paraId="4B075042" w14:textId="77777777" w:rsidR="00511C9C" w:rsidRPr="00511C9C" w:rsidRDefault="00511C9C" w:rsidP="00D14C02">
      <w:pPr>
        <w:pStyle w:val="BodyText"/>
        <w:numPr>
          <w:ilvl w:val="1"/>
          <w:numId w:val="22"/>
        </w:numPr>
        <w:overflowPunct/>
        <w:autoSpaceDE/>
        <w:autoSpaceDN/>
        <w:adjustRightInd/>
        <w:textAlignment w:val="auto"/>
        <w:rPr>
          <w:rFonts w:ascii="Times New Roman" w:hAnsi="Times New Roman"/>
          <w:i/>
          <w:iCs/>
          <w:szCs w:val="20"/>
          <w:lang w:eastAsia="zh-CN"/>
        </w:rPr>
      </w:pPr>
      <w:r w:rsidRPr="00511C9C">
        <w:rPr>
          <w:rFonts w:ascii="Times New Roman" w:hAnsi="Times New Roman"/>
          <w:b/>
          <w:i/>
          <w:iCs/>
          <w:szCs w:val="20"/>
          <w:lang w:eastAsia="zh-CN"/>
        </w:rPr>
        <w:t>Option 2</w:t>
      </w:r>
      <w:r w:rsidRPr="00511C9C">
        <w:rPr>
          <w:rFonts w:ascii="Times New Roman" w:hAnsi="Times New Roman"/>
          <w:i/>
          <w:iCs/>
          <w:szCs w:val="20"/>
          <w:lang w:eastAsia="zh-CN"/>
        </w:rPr>
        <w:t>: PDCCH monitoring for both eMBB and URLLC can be configured based on either Rel-15 capability or Rel-16 capability</w:t>
      </w:r>
    </w:p>
    <w:p w14:paraId="729EC472" w14:textId="67326BE9" w:rsidR="00511C9C" w:rsidRPr="00511C9C" w:rsidRDefault="00511C9C" w:rsidP="00D14C02">
      <w:pPr>
        <w:pStyle w:val="BodyText"/>
        <w:numPr>
          <w:ilvl w:val="2"/>
          <w:numId w:val="22"/>
        </w:numPr>
        <w:overflowPunct/>
        <w:autoSpaceDE/>
        <w:autoSpaceDN/>
        <w:adjustRightInd/>
        <w:textAlignment w:val="auto"/>
        <w:rPr>
          <w:rFonts w:ascii="Times New Roman" w:hAnsi="Times New Roman"/>
          <w:i/>
          <w:iCs/>
          <w:szCs w:val="20"/>
          <w:lang w:eastAsia="zh-CN"/>
        </w:rPr>
      </w:pPr>
      <w:r w:rsidRPr="00511C9C">
        <w:rPr>
          <w:rFonts w:ascii="Times New Roman" w:hAnsi="Times New Roman"/>
          <w:i/>
          <w:iCs/>
          <w:szCs w:val="20"/>
          <w:lang w:eastAsia="zh-CN"/>
        </w:rPr>
        <w:t xml:space="preserve">gNB configures which capability is used </w:t>
      </w:r>
    </w:p>
    <w:p w14:paraId="4FE34CC3" w14:textId="77777777" w:rsidR="00511C9C" w:rsidRPr="00511C9C" w:rsidRDefault="00511C9C" w:rsidP="00D14C02">
      <w:pPr>
        <w:pStyle w:val="BodyText"/>
        <w:numPr>
          <w:ilvl w:val="2"/>
          <w:numId w:val="22"/>
        </w:numPr>
        <w:overflowPunct/>
        <w:autoSpaceDE/>
        <w:autoSpaceDN/>
        <w:adjustRightInd/>
        <w:textAlignment w:val="auto"/>
        <w:rPr>
          <w:rFonts w:ascii="Times New Roman" w:hAnsi="Times New Roman"/>
          <w:i/>
          <w:iCs/>
          <w:szCs w:val="20"/>
          <w:lang w:eastAsia="zh-CN"/>
        </w:rPr>
      </w:pPr>
      <w:r w:rsidRPr="00511C9C">
        <w:rPr>
          <w:rFonts w:ascii="Times New Roman" w:hAnsi="Times New Roman"/>
          <w:i/>
          <w:iCs/>
          <w:szCs w:val="20"/>
          <w:lang w:eastAsia="zh-CN"/>
        </w:rPr>
        <w:lastRenderedPageBreak/>
        <w:t>For Rel-16 PDCCH monitoring capability,</w:t>
      </w:r>
    </w:p>
    <w:p w14:paraId="5E04BEB6" w14:textId="77777777" w:rsidR="00511C9C" w:rsidRPr="00511C9C" w:rsidRDefault="00511C9C" w:rsidP="00D14C02">
      <w:pPr>
        <w:pStyle w:val="BodyText"/>
        <w:numPr>
          <w:ilvl w:val="3"/>
          <w:numId w:val="22"/>
        </w:numPr>
        <w:overflowPunct/>
        <w:autoSpaceDE/>
        <w:autoSpaceDN/>
        <w:adjustRightInd/>
        <w:textAlignment w:val="auto"/>
        <w:rPr>
          <w:rFonts w:ascii="Times New Roman" w:hAnsi="Times New Roman"/>
          <w:i/>
          <w:iCs/>
          <w:szCs w:val="20"/>
          <w:lang w:eastAsia="zh-CN"/>
        </w:rPr>
      </w:pPr>
      <w:r w:rsidRPr="00511C9C">
        <w:rPr>
          <w:rFonts w:ascii="Times New Roman" w:hAnsi="Times New Roman"/>
          <w:i/>
          <w:iCs/>
          <w:szCs w:val="20"/>
          <w:lang w:eastAsia="zh-CN"/>
        </w:rPr>
        <w:t xml:space="preserve">The limit C on the maximum number of non-overlapping CCEs for channel estimation per PDCCH monitoring span is the same across different spans within a slot, each span can cover CSS and/or USS  </w:t>
      </w:r>
    </w:p>
    <w:p w14:paraId="77153F34" w14:textId="77777777" w:rsidR="00511C9C" w:rsidRPr="00511C9C" w:rsidRDefault="00511C9C" w:rsidP="00D14C02">
      <w:pPr>
        <w:pStyle w:val="BodyText"/>
        <w:numPr>
          <w:ilvl w:val="0"/>
          <w:numId w:val="22"/>
        </w:numPr>
        <w:overflowPunct/>
        <w:autoSpaceDE/>
        <w:autoSpaceDN/>
        <w:adjustRightInd/>
        <w:textAlignment w:val="auto"/>
        <w:rPr>
          <w:rFonts w:ascii="Times New Roman" w:hAnsi="Times New Roman"/>
          <w:i/>
          <w:iCs/>
          <w:szCs w:val="20"/>
          <w:lang w:eastAsia="zh-CN"/>
        </w:rPr>
      </w:pPr>
      <w:r w:rsidRPr="00511C9C">
        <w:rPr>
          <w:rFonts w:ascii="Times New Roman" w:hAnsi="Times New Roman"/>
          <w:i/>
          <w:iCs/>
          <w:szCs w:val="20"/>
          <w:lang w:eastAsia="zh-CN"/>
        </w:rPr>
        <w:t>Note: the value C is to be separately discussed</w:t>
      </w:r>
    </w:p>
    <w:p w14:paraId="4BA5D596" w14:textId="77777777" w:rsidR="00511C9C" w:rsidRPr="008D091C" w:rsidRDefault="00511C9C" w:rsidP="00511C9C">
      <w:pPr>
        <w:rPr>
          <w:b/>
          <w:u w:val="single"/>
        </w:rPr>
      </w:pPr>
      <w:r w:rsidRPr="008D091C">
        <w:rPr>
          <w:b/>
          <w:highlight w:val="green"/>
          <w:u w:val="single"/>
        </w:rPr>
        <w:t>Agreements:</w:t>
      </w:r>
    </w:p>
    <w:p w14:paraId="33FFCBF6" w14:textId="77777777" w:rsidR="00511C9C" w:rsidRPr="008D091C" w:rsidRDefault="00511C9C" w:rsidP="00D14C02">
      <w:pPr>
        <w:pStyle w:val="ListParagraph"/>
        <w:numPr>
          <w:ilvl w:val="0"/>
          <w:numId w:val="23"/>
        </w:numPr>
        <w:spacing w:after="60"/>
        <w:jc w:val="both"/>
        <w:rPr>
          <w:rFonts w:ascii="Times New Roman" w:hAnsi="Times New Roman"/>
          <w:i/>
          <w:iCs/>
          <w:color w:val="000000"/>
          <w:kern w:val="2"/>
          <w:sz w:val="20"/>
          <w:lang w:eastAsia="zh-CN"/>
        </w:rPr>
      </w:pPr>
      <w:r w:rsidRPr="008D091C">
        <w:rPr>
          <w:rFonts w:ascii="Times New Roman" w:hAnsi="Times New Roman"/>
          <w:i/>
          <w:iCs/>
          <w:color w:val="000000"/>
          <w:kern w:val="2"/>
          <w:sz w:val="20"/>
          <w:lang w:eastAsia="zh-CN"/>
        </w:rPr>
        <w:t xml:space="preserve">If UE reports the support of more than one combination of C(X, Y) for a given SCS, and if multiple combinations of C(X, Y) are valid for the span pattern, the maximum value of C of the valid combinations is applied.  </w:t>
      </w:r>
    </w:p>
    <w:p w14:paraId="7740687E" w14:textId="77777777" w:rsidR="00511C9C" w:rsidRPr="008D091C" w:rsidRDefault="00511C9C" w:rsidP="00D14C02">
      <w:pPr>
        <w:pStyle w:val="ListParagraph"/>
        <w:numPr>
          <w:ilvl w:val="1"/>
          <w:numId w:val="23"/>
        </w:numPr>
        <w:autoSpaceDE w:val="0"/>
        <w:autoSpaceDN w:val="0"/>
        <w:adjustRightInd w:val="0"/>
        <w:snapToGrid w:val="0"/>
        <w:spacing w:after="120"/>
        <w:contextualSpacing/>
        <w:jc w:val="both"/>
        <w:rPr>
          <w:rFonts w:ascii="Times New Roman" w:hAnsi="Times New Roman"/>
          <w:i/>
          <w:iCs/>
          <w:sz w:val="20"/>
          <w:szCs w:val="20"/>
          <w:lang w:eastAsia="zh-CN"/>
        </w:rPr>
      </w:pPr>
      <w:r w:rsidRPr="008D091C">
        <w:rPr>
          <w:rFonts w:ascii="Times New Roman" w:hAnsi="Times New Roman"/>
          <w:i/>
          <w:iCs/>
          <w:sz w:val="20"/>
          <w:szCs w:val="20"/>
        </w:rPr>
        <w:t>A combination C(X, Y) is valid if the span pattern satisfies X and Y of the given combination in every slot, including cross slot boundary</w:t>
      </w:r>
    </w:p>
    <w:p w14:paraId="7CF59897" w14:textId="77777777" w:rsidR="00511C9C" w:rsidRPr="00541652" w:rsidRDefault="00511C9C" w:rsidP="00D14C02">
      <w:pPr>
        <w:pStyle w:val="ListParagraph"/>
        <w:numPr>
          <w:ilvl w:val="1"/>
          <w:numId w:val="23"/>
        </w:numPr>
        <w:autoSpaceDE w:val="0"/>
        <w:autoSpaceDN w:val="0"/>
        <w:adjustRightInd w:val="0"/>
        <w:snapToGrid w:val="0"/>
        <w:spacing w:after="120"/>
        <w:contextualSpacing/>
        <w:jc w:val="both"/>
        <w:rPr>
          <w:rFonts w:ascii="Times New Roman" w:hAnsi="Times New Roman"/>
          <w:i/>
          <w:iCs/>
          <w:sz w:val="20"/>
          <w:szCs w:val="20"/>
          <w:lang w:eastAsia="zh-CN"/>
        </w:rPr>
      </w:pPr>
      <w:r w:rsidRPr="00541652">
        <w:rPr>
          <w:rFonts w:ascii="Times New Roman" w:hAnsi="Times New Roman"/>
          <w:i/>
          <w:iCs/>
          <w:sz w:val="20"/>
          <w:szCs w:val="20"/>
        </w:rPr>
        <w:t>FFS the impact from empty span(s) on the span pattern</w:t>
      </w:r>
    </w:p>
    <w:p w14:paraId="74EBCB91" w14:textId="23A51E54" w:rsidR="00511C9C" w:rsidRPr="008D091C" w:rsidRDefault="00511C9C" w:rsidP="00511C9C">
      <w:pPr>
        <w:rPr>
          <w:b/>
          <w:u w:val="single"/>
        </w:rPr>
      </w:pPr>
      <w:r w:rsidRPr="008D091C">
        <w:rPr>
          <w:b/>
          <w:highlight w:val="green"/>
          <w:u w:val="single"/>
        </w:rPr>
        <w:t>Agreements:</w:t>
      </w:r>
    </w:p>
    <w:p w14:paraId="14ED7D7A" w14:textId="77777777" w:rsidR="00511C9C" w:rsidRPr="008D091C" w:rsidRDefault="00511C9C" w:rsidP="00D14C02">
      <w:pPr>
        <w:pStyle w:val="ListParagraph"/>
        <w:numPr>
          <w:ilvl w:val="0"/>
          <w:numId w:val="23"/>
        </w:numPr>
        <w:spacing w:after="60"/>
        <w:rPr>
          <w:rFonts w:ascii="Times New Roman" w:hAnsi="Times New Roman"/>
          <w:i/>
          <w:color w:val="000000"/>
          <w:kern w:val="2"/>
          <w:sz w:val="20"/>
          <w:szCs w:val="20"/>
          <w:lang w:eastAsia="zh-CN"/>
        </w:rPr>
      </w:pPr>
      <w:r w:rsidRPr="008D091C">
        <w:rPr>
          <w:rFonts w:ascii="Times New Roman" w:hAnsi="Times New Roman"/>
          <w:i/>
          <w:color w:val="000000"/>
          <w:kern w:val="2"/>
          <w:sz w:val="20"/>
          <w:szCs w:val="20"/>
          <w:lang w:eastAsia="zh-CN"/>
        </w:rPr>
        <w:t>Support separate configurable number of bits (2 or 3 or 4 bits) for “HARQ process number” for new DCI formats for scheduling DL and UL</w:t>
      </w:r>
    </w:p>
    <w:p w14:paraId="75F37846" w14:textId="77777777" w:rsidR="00511C9C" w:rsidRPr="00541652" w:rsidRDefault="00511C9C" w:rsidP="00D14C02">
      <w:pPr>
        <w:numPr>
          <w:ilvl w:val="1"/>
          <w:numId w:val="23"/>
        </w:numPr>
        <w:overflowPunct/>
        <w:autoSpaceDE/>
        <w:autoSpaceDN/>
        <w:adjustRightInd/>
        <w:spacing w:after="60"/>
        <w:textAlignment w:val="auto"/>
        <w:rPr>
          <w:i/>
          <w:color w:val="000000"/>
          <w:kern w:val="2"/>
          <w:lang w:eastAsia="zh-CN"/>
        </w:rPr>
      </w:pPr>
      <w:r w:rsidRPr="00541652">
        <w:rPr>
          <w:i/>
          <w:color w:val="000000"/>
          <w:kern w:val="2"/>
          <w:lang w:eastAsia="zh-CN"/>
        </w:rPr>
        <w:t>FFS 0 or 1 bits</w:t>
      </w:r>
    </w:p>
    <w:p w14:paraId="695D8F39" w14:textId="69ABFA13" w:rsidR="00511C9C" w:rsidRDefault="00511C9C" w:rsidP="00DE44D6">
      <w:pPr>
        <w:tabs>
          <w:tab w:val="num" w:pos="1800"/>
        </w:tabs>
        <w:jc w:val="both"/>
        <w:rPr>
          <w:rFonts w:asciiTheme="majorBidi" w:hAnsiTheme="majorBidi" w:cstheme="majorBidi"/>
          <w:bCs/>
          <w:iCs/>
          <w:szCs w:val="22"/>
        </w:rPr>
      </w:pPr>
    </w:p>
    <w:p w14:paraId="05A5A2DE" w14:textId="7F522139" w:rsidR="000D7D16" w:rsidRDefault="000D7D16" w:rsidP="00DE44D6">
      <w:pPr>
        <w:tabs>
          <w:tab w:val="num" w:pos="1800"/>
        </w:tabs>
        <w:jc w:val="both"/>
        <w:rPr>
          <w:rFonts w:asciiTheme="majorBidi" w:hAnsiTheme="majorBidi" w:cstheme="majorBidi"/>
          <w:bCs/>
          <w:iCs/>
          <w:szCs w:val="22"/>
        </w:rPr>
      </w:pPr>
      <w:r>
        <w:rPr>
          <w:rFonts w:asciiTheme="majorBidi" w:hAnsiTheme="majorBidi" w:cstheme="majorBidi"/>
          <w:bCs/>
          <w:iCs/>
          <w:szCs w:val="22"/>
        </w:rPr>
        <w:t>Finally, in RAN1 #98b, the bitwidth for many of the information fields were decided as follows:</w:t>
      </w:r>
    </w:p>
    <w:p w14:paraId="1B1E372F" w14:textId="77777777" w:rsidR="000D7D16" w:rsidRPr="000D7D16" w:rsidRDefault="000D7D16" w:rsidP="000D7D16">
      <w:pPr>
        <w:jc w:val="both"/>
        <w:rPr>
          <w:b/>
          <w:u w:val="single"/>
          <w:lang w:eastAsia="x-none"/>
        </w:rPr>
      </w:pPr>
      <w:r w:rsidRPr="000D7D16">
        <w:rPr>
          <w:b/>
          <w:highlight w:val="green"/>
          <w:u w:val="single"/>
          <w:lang w:eastAsia="x-none"/>
        </w:rPr>
        <w:t>Agreements:</w:t>
      </w:r>
    </w:p>
    <w:p w14:paraId="7137D259" w14:textId="77777777" w:rsidR="000D7D16" w:rsidRPr="000D7D16" w:rsidRDefault="000D7D16" w:rsidP="000D7D16">
      <w:pPr>
        <w:pStyle w:val="ListParagraph"/>
        <w:numPr>
          <w:ilvl w:val="0"/>
          <w:numId w:val="23"/>
        </w:numPr>
        <w:spacing w:after="60"/>
        <w:jc w:val="both"/>
        <w:rPr>
          <w:rFonts w:ascii="Times New Roman" w:hAnsi="Times New Roman"/>
          <w:iCs/>
          <w:color w:val="000000"/>
          <w:kern w:val="2"/>
          <w:sz w:val="20"/>
          <w:lang w:eastAsia="zh-CN"/>
        </w:rPr>
      </w:pPr>
      <w:r w:rsidRPr="000D7D16">
        <w:rPr>
          <w:rFonts w:ascii="Times New Roman" w:hAnsi="Times New Roman"/>
          <w:iCs/>
          <w:color w:val="000000"/>
          <w:kern w:val="2"/>
          <w:sz w:val="20"/>
          <w:lang w:eastAsia="zh-CN"/>
        </w:rPr>
        <w:t xml:space="preserve">Support configurable number of bits (0 or 1 bit) for “VRB-to-PRB mapping” in the new DCI format for DL scheduling for Rel-16 URLLC. </w:t>
      </w:r>
    </w:p>
    <w:p w14:paraId="24D03F78" w14:textId="7EB42655" w:rsidR="000D7D16" w:rsidRDefault="000D7D16" w:rsidP="000D7D16">
      <w:pPr>
        <w:numPr>
          <w:ilvl w:val="1"/>
          <w:numId w:val="23"/>
        </w:numPr>
        <w:overflowPunct/>
        <w:snapToGrid w:val="0"/>
        <w:spacing w:after="0"/>
        <w:jc w:val="both"/>
        <w:textAlignment w:val="auto"/>
        <w:rPr>
          <w:iCs/>
          <w:lang w:eastAsia="zh-CN"/>
        </w:rPr>
      </w:pPr>
      <w:r w:rsidRPr="00C15A1A">
        <w:rPr>
          <w:iCs/>
          <w:lang w:eastAsia="zh-CN"/>
        </w:rPr>
        <w:t xml:space="preserve">If </w:t>
      </w:r>
      <w:r w:rsidRPr="00C15A1A">
        <w:rPr>
          <w:iCs/>
          <w:color w:val="000000"/>
          <w:kern w:val="2"/>
          <w:lang w:eastAsia="zh-CN"/>
        </w:rPr>
        <w:t>0 bit is configured, n</w:t>
      </w:r>
      <w:r w:rsidRPr="00C15A1A">
        <w:rPr>
          <w:iCs/>
        </w:rPr>
        <w:t xml:space="preserve">on-interleaved VRB-to-PRB mapping as in Rel-15 is applied. </w:t>
      </w:r>
      <w:r w:rsidRPr="00C15A1A">
        <w:rPr>
          <w:iCs/>
          <w:color w:val="000000"/>
          <w:kern w:val="2"/>
          <w:lang w:eastAsia="zh-CN"/>
        </w:rPr>
        <w:t xml:space="preserve"> </w:t>
      </w:r>
    </w:p>
    <w:p w14:paraId="602F7606" w14:textId="77777777" w:rsidR="000D7D16" w:rsidRPr="000D7D16" w:rsidRDefault="000D7D16" w:rsidP="000D7D16">
      <w:pPr>
        <w:overflowPunct/>
        <w:snapToGrid w:val="0"/>
        <w:spacing w:after="0"/>
        <w:ind w:left="1440"/>
        <w:jc w:val="both"/>
        <w:textAlignment w:val="auto"/>
        <w:rPr>
          <w:iCs/>
          <w:lang w:eastAsia="zh-CN"/>
        </w:rPr>
      </w:pPr>
    </w:p>
    <w:p w14:paraId="641F9657" w14:textId="77777777" w:rsidR="000D7D16" w:rsidRPr="000D7D16" w:rsidRDefault="000D7D16" w:rsidP="000D7D16">
      <w:pPr>
        <w:jc w:val="both"/>
        <w:rPr>
          <w:b/>
          <w:highlight w:val="green"/>
          <w:u w:val="single"/>
          <w:lang w:eastAsia="x-none"/>
        </w:rPr>
      </w:pPr>
      <w:r w:rsidRPr="000D7D16">
        <w:rPr>
          <w:b/>
          <w:highlight w:val="green"/>
          <w:u w:val="single"/>
          <w:lang w:eastAsia="x-none"/>
        </w:rPr>
        <w:t>Agreements:</w:t>
      </w:r>
    </w:p>
    <w:p w14:paraId="2AD766D7" w14:textId="77777777" w:rsidR="000D7D16" w:rsidRPr="000D7D16" w:rsidRDefault="000D7D16" w:rsidP="000D7D16">
      <w:pPr>
        <w:pStyle w:val="ListParagraph"/>
        <w:numPr>
          <w:ilvl w:val="0"/>
          <w:numId w:val="23"/>
        </w:numPr>
        <w:spacing w:after="60"/>
        <w:jc w:val="both"/>
        <w:rPr>
          <w:rFonts w:ascii="Times New Roman" w:hAnsi="Times New Roman"/>
          <w:color w:val="000000"/>
          <w:kern w:val="2"/>
          <w:sz w:val="20"/>
          <w:lang w:eastAsia="zh-CN"/>
        </w:rPr>
      </w:pPr>
      <w:r w:rsidRPr="000D7D16">
        <w:rPr>
          <w:rFonts w:ascii="Times New Roman" w:hAnsi="Times New Roman"/>
          <w:color w:val="000000"/>
          <w:kern w:val="2"/>
          <w:sz w:val="20"/>
          <w:lang w:eastAsia="zh-CN"/>
        </w:rPr>
        <w:t>Support configurable number of bits (0 or 1 or 2 bits) for “Redundancy version” in the new DCI format for DL scheduling for Rel-16 URLLC.</w:t>
      </w:r>
    </w:p>
    <w:p w14:paraId="24911AC7" w14:textId="77777777" w:rsidR="000D7D16" w:rsidRPr="000D7D16" w:rsidRDefault="000D7D16" w:rsidP="000D7D16">
      <w:pPr>
        <w:pStyle w:val="ListParagraph"/>
        <w:numPr>
          <w:ilvl w:val="1"/>
          <w:numId w:val="23"/>
        </w:numPr>
        <w:autoSpaceDE w:val="0"/>
        <w:autoSpaceDN w:val="0"/>
        <w:adjustRightInd w:val="0"/>
        <w:snapToGrid w:val="0"/>
        <w:spacing w:after="120"/>
        <w:contextualSpacing/>
        <w:jc w:val="both"/>
        <w:rPr>
          <w:rFonts w:ascii="Times New Roman" w:hAnsi="Times New Roman"/>
          <w:color w:val="000000"/>
          <w:kern w:val="2"/>
          <w:sz w:val="20"/>
          <w:szCs w:val="20"/>
          <w:lang w:eastAsia="zh-CN"/>
        </w:rPr>
      </w:pPr>
      <w:r w:rsidRPr="000D7D16">
        <w:rPr>
          <w:rFonts w:ascii="Times New Roman" w:hAnsi="Times New Roman"/>
          <w:color w:val="000000"/>
          <w:kern w:val="2"/>
          <w:sz w:val="20"/>
          <w:szCs w:val="20"/>
          <w:lang w:eastAsia="zh-CN"/>
        </w:rPr>
        <w:t xml:space="preserve">If 0 bit is configured, RV0 is used. </w:t>
      </w:r>
    </w:p>
    <w:p w14:paraId="6DBD0182" w14:textId="77777777" w:rsidR="000D7D16" w:rsidRPr="000D7D16" w:rsidRDefault="000D7D16" w:rsidP="000D7D16">
      <w:pPr>
        <w:pStyle w:val="ListParagraph"/>
        <w:numPr>
          <w:ilvl w:val="1"/>
          <w:numId w:val="23"/>
        </w:numPr>
        <w:autoSpaceDE w:val="0"/>
        <w:autoSpaceDN w:val="0"/>
        <w:adjustRightInd w:val="0"/>
        <w:snapToGrid w:val="0"/>
        <w:spacing w:after="120"/>
        <w:contextualSpacing/>
        <w:jc w:val="both"/>
        <w:rPr>
          <w:rFonts w:ascii="Times New Roman" w:hAnsi="Times New Roman"/>
          <w:color w:val="000000"/>
          <w:kern w:val="2"/>
          <w:sz w:val="20"/>
          <w:szCs w:val="20"/>
          <w:lang w:eastAsia="zh-CN"/>
        </w:rPr>
      </w:pPr>
      <w:r w:rsidRPr="000D7D16">
        <w:rPr>
          <w:rFonts w:ascii="Times New Roman" w:hAnsi="Times New Roman"/>
          <w:color w:val="000000"/>
          <w:kern w:val="2"/>
          <w:sz w:val="20"/>
          <w:szCs w:val="20"/>
          <w:lang w:eastAsia="zh-CN"/>
        </w:rPr>
        <w:t xml:space="preserve">If 1 bit is configured, RV0 and RV3 are indicated dynamically  </w:t>
      </w:r>
    </w:p>
    <w:p w14:paraId="06EFC16E" w14:textId="77777777" w:rsidR="000D7D16" w:rsidRPr="000D7D16" w:rsidRDefault="000D7D16" w:rsidP="000D7D16">
      <w:pPr>
        <w:jc w:val="both"/>
        <w:rPr>
          <w:b/>
          <w:u w:val="single"/>
          <w:lang w:eastAsia="x-none"/>
        </w:rPr>
      </w:pPr>
      <w:r w:rsidRPr="000D7D16">
        <w:rPr>
          <w:b/>
          <w:highlight w:val="green"/>
          <w:u w:val="single"/>
          <w:lang w:eastAsia="x-none"/>
        </w:rPr>
        <w:t>Agreements:</w:t>
      </w:r>
    </w:p>
    <w:p w14:paraId="36DC4D56" w14:textId="77777777" w:rsidR="000D7D16" w:rsidRPr="00AA4822" w:rsidRDefault="000D7D16" w:rsidP="000D7D16">
      <w:pPr>
        <w:numPr>
          <w:ilvl w:val="0"/>
          <w:numId w:val="22"/>
        </w:numPr>
        <w:overflowPunct/>
        <w:autoSpaceDE/>
        <w:autoSpaceDN/>
        <w:adjustRightInd/>
        <w:spacing w:after="60"/>
        <w:jc w:val="both"/>
        <w:textAlignment w:val="auto"/>
        <w:rPr>
          <w:color w:val="000000"/>
          <w:kern w:val="2"/>
          <w:lang w:eastAsia="zh-CN"/>
        </w:rPr>
      </w:pPr>
      <w:r w:rsidRPr="00AA4822">
        <w:rPr>
          <w:color w:val="000000"/>
          <w:kern w:val="2"/>
          <w:lang w:eastAsia="zh-CN"/>
        </w:rPr>
        <w:t>Support configurable number of bits (0 or 1 or 2 or 3 bits) for “Carrier indicator” for the new DCI formats scheduling Rel-16 URLLC.</w:t>
      </w:r>
    </w:p>
    <w:p w14:paraId="3C8FB4CF" w14:textId="77777777" w:rsidR="000D7D16" w:rsidRPr="000D7D16" w:rsidRDefault="000D7D16" w:rsidP="000D7D16">
      <w:pPr>
        <w:pStyle w:val="ListParagraph"/>
        <w:numPr>
          <w:ilvl w:val="0"/>
          <w:numId w:val="22"/>
        </w:numPr>
        <w:jc w:val="both"/>
        <w:rPr>
          <w:rFonts w:ascii="Times New Roman" w:hAnsi="Times New Roman"/>
          <w:sz w:val="20"/>
          <w:lang w:eastAsia="x-none"/>
        </w:rPr>
      </w:pPr>
      <w:r w:rsidRPr="000D7D16">
        <w:rPr>
          <w:rFonts w:ascii="Times New Roman" w:hAnsi="Times New Roman"/>
          <w:sz w:val="20"/>
          <w:lang w:eastAsia="x-none"/>
        </w:rPr>
        <w:t>The number of bits for “carrier indicator” in the new DCI format for DL scheduling and the new DCI format for UL scheduling can be separately configured.</w:t>
      </w:r>
    </w:p>
    <w:p w14:paraId="7018377F" w14:textId="77777777" w:rsidR="000D7D16" w:rsidRDefault="000D7D16" w:rsidP="000D7D16">
      <w:pPr>
        <w:rPr>
          <w:lang w:eastAsia="x-none"/>
        </w:rPr>
      </w:pPr>
    </w:p>
    <w:p w14:paraId="6C15FC38" w14:textId="77777777" w:rsidR="000D7D16" w:rsidRPr="00A3300F" w:rsidRDefault="000D7D16" w:rsidP="000D7D16">
      <w:pPr>
        <w:rPr>
          <w:lang w:eastAsia="x-none"/>
        </w:rPr>
      </w:pPr>
      <w:r w:rsidRPr="00A3300F">
        <w:rPr>
          <w:highlight w:val="green"/>
          <w:lang w:eastAsia="x-none"/>
        </w:rPr>
        <w:t>Agreements</w:t>
      </w:r>
      <w:r w:rsidRPr="00A3300F">
        <w:rPr>
          <w:lang w:eastAsia="x-none"/>
        </w:rPr>
        <w:t>:</w:t>
      </w:r>
    </w:p>
    <w:p w14:paraId="2279DE91" w14:textId="77777777" w:rsidR="000D7D16" w:rsidRPr="000D7D16" w:rsidRDefault="000D7D16" w:rsidP="000D7D16">
      <w:pPr>
        <w:pStyle w:val="ListParagraph"/>
        <w:numPr>
          <w:ilvl w:val="0"/>
          <w:numId w:val="25"/>
        </w:numPr>
        <w:spacing w:after="60"/>
        <w:jc w:val="both"/>
        <w:rPr>
          <w:rFonts w:ascii="Times New Roman" w:hAnsi="Times New Roman"/>
          <w:iCs/>
          <w:color w:val="000000"/>
          <w:kern w:val="2"/>
          <w:sz w:val="20"/>
          <w:lang w:eastAsia="zh-CN"/>
        </w:rPr>
      </w:pPr>
      <w:r w:rsidRPr="000D7D16">
        <w:rPr>
          <w:rFonts w:ascii="Times New Roman" w:hAnsi="Times New Roman"/>
          <w:iCs/>
          <w:color w:val="000000"/>
          <w:kern w:val="2"/>
          <w:sz w:val="20"/>
          <w:lang w:eastAsia="zh-CN"/>
        </w:rPr>
        <w:t>For the new DCI format for DL scheduling for Rel-16 URLLC, support configurable number of bits for the following fields:</w:t>
      </w:r>
    </w:p>
    <w:p w14:paraId="385C1BA5" w14:textId="77777777" w:rsidR="000D7D16" w:rsidRPr="000D7D16" w:rsidRDefault="000D7D16" w:rsidP="000D7D16">
      <w:pPr>
        <w:pStyle w:val="ListParagraph"/>
        <w:numPr>
          <w:ilvl w:val="1"/>
          <w:numId w:val="25"/>
        </w:numPr>
        <w:autoSpaceDE w:val="0"/>
        <w:autoSpaceDN w:val="0"/>
        <w:adjustRightInd w:val="0"/>
        <w:snapToGrid w:val="0"/>
        <w:spacing w:after="120"/>
        <w:contextualSpacing/>
        <w:jc w:val="both"/>
        <w:rPr>
          <w:rFonts w:ascii="Times New Roman" w:hAnsi="Times New Roman"/>
          <w:iCs/>
          <w:color w:val="000000"/>
          <w:kern w:val="2"/>
          <w:sz w:val="20"/>
          <w:szCs w:val="20"/>
          <w:lang w:eastAsia="zh-CN"/>
        </w:rPr>
      </w:pPr>
      <w:r w:rsidRPr="000D7D16">
        <w:rPr>
          <w:rFonts w:ascii="Times New Roman" w:hAnsi="Times New Roman"/>
          <w:iCs/>
          <w:color w:val="000000"/>
          <w:kern w:val="2"/>
          <w:sz w:val="20"/>
          <w:szCs w:val="20"/>
          <w:lang w:eastAsia="zh-CN"/>
        </w:rPr>
        <w:t>Antenna port(s) (0 or 4/5/6 bits)</w:t>
      </w:r>
    </w:p>
    <w:p w14:paraId="409D60E8" w14:textId="77777777" w:rsidR="000D7D16" w:rsidRPr="000D7D16" w:rsidRDefault="000D7D16" w:rsidP="000D7D16">
      <w:pPr>
        <w:pStyle w:val="ListParagraph"/>
        <w:numPr>
          <w:ilvl w:val="2"/>
          <w:numId w:val="25"/>
        </w:numPr>
        <w:autoSpaceDE w:val="0"/>
        <w:autoSpaceDN w:val="0"/>
        <w:adjustRightInd w:val="0"/>
        <w:snapToGrid w:val="0"/>
        <w:spacing w:after="120"/>
        <w:contextualSpacing/>
        <w:jc w:val="both"/>
        <w:rPr>
          <w:rFonts w:ascii="Times New Roman" w:hAnsi="Times New Roman"/>
          <w:iCs/>
          <w:color w:val="000000"/>
          <w:kern w:val="2"/>
          <w:sz w:val="20"/>
          <w:szCs w:val="20"/>
          <w:lang w:eastAsia="zh-CN"/>
        </w:rPr>
      </w:pPr>
      <w:r w:rsidRPr="000D7D16">
        <w:rPr>
          <w:rFonts w:ascii="Times New Roman" w:hAnsi="Times New Roman"/>
          <w:iCs/>
          <w:color w:val="000000"/>
          <w:kern w:val="2"/>
          <w:sz w:val="20"/>
          <w:szCs w:val="20"/>
          <w:lang w:eastAsia="zh-CN"/>
        </w:rPr>
        <w:t>New RRC configuration parameters are introduced for this configuration</w:t>
      </w:r>
    </w:p>
    <w:p w14:paraId="709B878F" w14:textId="77777777" w:rsidR="000D7D16" w:rsidRPr="000D7D16" w:rsidRDefault="000D7D16" w:rsidP="000D7D16">
      <w:pPr>
        <w:pStyle w:val="ListParagraph"/>
        <w:numPr>
          <w:ilvl w:val="1"/>
          <w:numId w:val="25"/>
        </w:numPr>
        <w:autoSpaceDE w:val="0"/>
        <w:autoSpaceDN w:val="0"/>
        <w:adjustRightInd w:val="0"/>
        <w:snapToGrid w:val="0"/>
        <w:spacing w:after="120"/>
        <w:contextualSpacing/>
        <w:jc w:val="both"/>
        <w:rPr>
          <w:rFonts w:ascii="Times New Roman" w:hAnsi="Times New Roman"/>
          <w:iCs/>
          <w:color w:val="000000"/>
          <w:kern w:val="2"/>
          <w:sz w:val="20"/>
          <w:szCs w:val="20"/>
          <w:lang w:eastAsia="zh-CN"/>
        </w:rPr>
      </w:pPr>
      <w:r w:rsidRPr="000D7D16">
        <w:rPr>
          <w:rFonts w:ascii="Times New Roman" w:hAnsi="Times New Roman"/>
          <w:iCs/>
          <w:color w:val="000000"/>
          <w:kern w:val="2"/>
          <w:sz w:val="20"/>
          <w:szCs w:val="20"/>
          <w:lang w:eastAsia="zh-CN"/>
        </w:rPr>
        <w:t>Transmission configuration indication (0 or 3 bits)</w:t>
      </w:r>
    </w:p>
    <w:p w14:paraId="19AC6CA4" w14:textId="77777777" w:rsidR="000D7D16" w:rsidRPr="000D7D16" w:rsidRDefault="000D7D16" w:rsidP="000D7D16">
      <w:pPr>
        <w:pStyle w:val="ListParagraph"/>
        <w:numPr>
          <w:ilvl w:val="2"/>
          <w:numId w:val="25"/>
        </w:numPr>
        <w:autoSpaceDE w:val="0"/>
        <w:autoSpaceDN w:val="0"/>
        <w:adjustRightInd w:val="0"/>
        <w:snapToGrid w:val="0"/>
        <w:spacing w:after="120"/>
        <w:contextualSpacing/>
        <w:jc w:val="both"/>
        <w:rPr>
          <w:rFonts w:ascii="Times New Roman" w:hAnsi="Times New Roman"/>
          <w:iCs/>
          <w:color w:val="000000"/>
          <w:kern w:val="2"/>
          <w:sz w:val="20"/>
          <w:szCs w:val="20"/>
          <w:lang w:eastAsia="zh-CN"/>
        </w:rPr>
      </w:pPr>
      <w:r w:rsidRPr="000D7D16">
        <w:rPr>
          <w:rFonts w:ascii="Times New Roman" w:hAnsi="Times New Roman"/>
          <w:iCs/>
          <w:color w:val="000000"/>
          <w:kern w:val="2"/>
          <w:sz w:val="20"/>
          <w:szCs w:val="20"/>
          <w:lang w:eastAsia="zh-CN"/>
        </w:rPr>
        <w:t>FFS 1 or 2 bits</w:t>
      </w:r>
    </w:p>
    <w:p w14:paraId="06D09471" w14:textId="77777777" w:rsidR="000D7D16" w:rsidRPr="000D7D16" w:rsidRDefault="000D7D16" w:rsidP="000D7D16">
      <w:pPr>
        <w:pStyle w:val="ListParagraph"/>
        <w:numPr>
          <w:ilvl w:val="1"/>
          <w:numId w:val="25"/>
        </w:numPr>
        <w:autoSpaceDE w:val="0"/>
        <w:autoSpaceDN w:val="0"/>
        <w:adjustRightInd w:val="0"/>
        <w:snapToGrid w:val="0"/>
        <w:spacing w:after="120"/>
        <w:contextualSpacing/>
        <w:jc w:val="both"/>
        <w:rPr>
          <w:rFonts w:ascii="Times New Roman" w:hAnsi="Times New Roman"/>
          <w:iCs/>
          <w:color w:val="000000"/>
          <w:kern w:val="2"/>
          <w:sz w:val="20"/>
          <w:szCs w:val="20"/>
          <w:lang w:eastAsia="zh-CN"/>
        </w:rPr>
      </w:pPr>
      <w:r w:rsidRPr="000D7D16">
        <w:rPr>
          <w:rFonts w:ascii="Times New Roman" w:hAnsi="Times New Roman"/>
          <w:iCs/>
          <w:color w:val="000000"/>
          <w:kern w:val="2"/>
          <w:sz w:val="20"/>
          <w:szCs w:val="20"/>
          <w:lang w:eastAsia="zh-CN"/>
        </w:rPr>
        <w:t>SRS request (0 or 2 or 3 bits)</w:t>
      </w:r>
    </w:p>
    <w:p w14:paraId="0ADB63C2" w14:textId="77777777" w:rsidR="000D7D16" w:rsidRPr="000D7D16" w:rsidRDefault="000D7D16" w:rsidP="000D7D16">
      <w:pPr>
        <w:pStyle w:val="ListParagraph"/>
        <w:numPr>
          <w:ilvl w:val="2"/>
          <w:numId w:val="25"/>
        </w:numPr>
        <w:autoSpaceDE w:val="0"/>
        <w:autoSpaceDN w:val="0"/>
        <w:adjustRightInd w:val="0"/>
        <w:snapToGrid w:val="0"/>
        <w:spacing w:after="120"/>
        <w:contextualSpacing/>
        <w:jc w:val="both"/>
        <w:rPr>
          <w:rFonts w:ascii="Times New Roman" w:hAnsi="Times New Roman"/>
          <w:iCs/>
          <w:color w:val="000000"/>
          <w:kern w:val="2"/>
          <w:sz w:val="20"/>
          <w:szCs w:val="20"/>
          <w:lang w:eastAsia="zh-CN"/>
        </w:rPr>
      </w:pPr>
      <w:r w:rsidRPr="000D7D16">
        <w:rPr>
          <w:rFonts w:ascii="Times New Roman" w:hAnsi="Times New Roman"/>
          <w:iCs/>
          <w:color w:val="000000"/>
          <w:kern w:val="2"/>
          <w:sz w:val="20"/>
          <w:szCs w:val="20"/>
          <w:lang w:eastAsia="zh-CN"/>
        </w:rPr>
        <w:t>FFS 1 bit</w:t>
      </w:r>
    </w:p>
    <w:p w14:paraId="1D8EBF81" w14:textId="77777777" w:rsidR="000D7D16" w:rsidRPr="000D7D16" w:rsidRDefault="000D7D16" w:rsidP="000D7D16">
      <w:pPr>
        <w:pStyle w:val="ListParagraph"/>
        <w:numPr>
          <w:ilvl w:val="1"/>
          <w:numId w:val="25"/>
        </w:numPr>
        <w:autoSpaceDE w:val="0"/>
        <w:autoSpaceDN w:val="0"/>
        <w:adjustRightInd w:val="0"/>
        <w:snapToGrid w:val="0"/>
        <w:spacing w:after="120"/>
        <w:contextualSpacing/>
        <w:jc w:val="both"/>
        <w:rPr>
          <w:rFonts w:ascii="Times New Roman" w:hAnsi="Times New Roman"/>
          <w:iCs/>
          <w:color w:val="000000"/>
          <w:kern w:val="2"/>
          <w:sz w:val="20"/>
          <w:szCs w:val="20"/>
          <w:lang w:eastAsia="zh-CN"/>
        </w:rPr>
      </w:pPr>
      <w:r w:rsidRPr="000D7D16">
        <w:rPr>
          <w:rFonts w:ascii="Times New Roman" w:hAnsi="Times New Roman"/>
          <w:iCs/>
          <w:color w:val="000000"/>
          <w:kern w:val="2"/>
          <w:sz w:val="20"/>
          <w:szCs w:val="20"/>
          <w:lang w:eastAsia="zh-CN"/>
        </w:rPr>
        <w:t xml:space="preserve">DMRS sequence initialization (0 or 1 bit) </w:t>
      </w:r>
    </w:p>
    <w:p w14:paraId="085569EB" w14:textId="77777777" w:rsidR="000D7D16" w:rsidRDefault="000D7D16" w:rsidP="000D7D16">
      <w:pPr>
        <w:rPr>
          <w:lang w:eastAsia="x-none"/>
        </w:rPr>
      </w:pPr>
    </w:p>
    <w:p w14:paraId="4FCD1CBC" w14:textId="77777777" w:rsidR="000D7D16" w:rsidRPr="000D7D16" w:rsidRDefault="000D7D16" w:rsidP="000D7D16">
      <w:pPr>
        <w:rPr>
          <w:b/>
          <w:u w:val="single"/>
          <w:lang w:eastAsia="x-none"/>
        </w:rPr>
      </w:pPr>
      <w:r w:rsidRPr="000D7D16">
        <w:rPr>
          <w:b/>
          <w:highlight w:val="green"/>
          <w:u w:val="single"/>
          <w:lang w:eastAsia="x-none"/>
        </w:rPr>
        <w:lastRenderedPageBreak/>
        <w:t>Agreements:</w:t>
      </w:r>
    </w:p>
    <w:p w14:paraId="0AD43343" w14:textId="77777777" w:rsidR="000D7D16" w:rsidRPr="000D7D16" w:rsidRDefault="000D7D16" w:rsidP="000D7D16">
      <w:pPr>
        <w:pStyle w:val="ListParagraph"/>
        <w:numPr>
          <w:ilvl w:val="0"/>
          <w:numId w:val="25"/>
        </w:numPr>
        <w:jc w:val="both"/>
        <w:rPr>
          <w:rFonts w:ascii="Times New Roman" w:hAnsi="Times New Roman"/>
          <w:color w:val="000000"/>
          <w:kern w:val="2"/>
          <w:sz w:val="20"/>
          <w:lang w:eastAsia="zh-CN"/>
        </w:rPr>
      </w:pPr>
      <w:r w:rsidRPr="000D7D16">
        <w:rPr>
          <w:rFonts w:ascii="Times New Roman" w:hAnsi="Times New Roman"/>
          <w:color w:val="000000"/>
          <w:kern w:val="2"/>
          <w:sz w:val="20"/>
          <w:lang w:eastAsia="zh-CN"/>
        </w:rPr>
        <w:t xml:space="preserve">For resource allocation type 1 for frequency domain resource assignment for the new DCI formats scheduling Rel-16 URLLC, the possible configurable values for the scheduling granularity for starting point and length indication is {2, 4, 8, 16}. </w:t>
      </w:r>
    </w:p>
    <w:p w14:paraId="09BF5873" w14:textId="77777777" w:rsidR="000D7D16" w:rsidRPr="000D7D16" w:rsidRDefault="000D7D16" w:rsidP="000D7D16">
      <w:pPr>
        <w:pStyle w:val="ListParagraph"/>
        <w:numPr>
          <w:ilvl w:val="1"/>
          <w:numId w:val="25"/>
        </w:numPr>
        <w:autoSpaceDE w:val="0"/>
        <w:autoSpaceDN w:val="0"/>
        <w:adjustRightInd w:val="0"/>
        <w:snapToGrid w:val="0"/>
        <w:spacing w:after="120"/>
        <w:contextualSpacing/>
        <w:jc w:val="both"/>
        <w:rPr>
          <w:rFonts w:ascii="Times New Roman" w:hAnsi="Times New Roman"/>
          <w:color w:val="000000"/>
          <w:kern w:val="2"/>
          <w:sz w:val="20"/>
          <w:szCs w:val="20"/>
          <w:lang w:eastAsia="zh-CN"/>
        </w:rPr>
      </w:pPr>
      <w:r w:rsidRPr="000D7D16">
        <w:rPr>
          <w:rFonts w:ascii="Times New Roman" w:hAnsi="Times New Roman"/>
          <w:color w:val="000000"/>
          <w:kern w:val="2"/>
          <w:sz w:val="20"/>
          <w:szCs w:val="20"/>
          <w:lang w:eastAsia="zh-CN"/>
        </w:rPr>
        <w:t xml:space="preserve">If not configured, the granularity is 1 PRB. </w:t>
      </w:r>
    </w:p>
    <w:p w14:paraId="0CB0F5B8" w14:textId="77777777" w:rsidR="000D7D16" w:rsidRPr="000D7D16" w:rsidRDefault="000D7D16" w:rsidP="000D7D16">
      <w:pPr>
        <w:pStyle w:val="ListParagraph"/>
        <w:numPr>
          <w:ilvl w:val="1"/>
          <w:numId w:val="25"/>
        </w:numPr>
        <w:autoSpaceDE w:val="0"/>
        <w:autoSpaceDN w:val="0"/>
        <w:adjustRightInd w:val="0"/>
        <w:snapToGrid w:val="0"/>
        <w:spacing w:after="120"/>
        <w:contextualSpacing/>
        <w:jc w:val="both"/>
        <w:rPr>
          <w:rFonts w:ascii="Times New Roman" w:hAnsi="Times New Roman"/>
          <w:color w:val="000000"/>
          <w:kern w:val="2"/>
          <w:sz w:val="20"/>
          <w:szCs w:val="20"/>
          <w:lang w:eastAsia="zh-CN"/>
        </w:rPr>
      </w:pPr>
      <w:r w:rsidRPr="000D7D16">
        <w:rPr>
          <w:rFonts w:ascii="Times New Roman" w:hAnsi="Times New Roman"/>
          <w:color w:val="000000"/>
          <w:kern w:val="2"/>
          <w:sz w:val="20"/>
          <w:szCs w:val="20"/>
          <w:lang w:eastAsia="zh-CN"/>
        </w:rPr>
        <w:t>FFS other possible values</w:t>
      </w:r>
    </w:p>
    <w:p w14:paraId="7BCF4152" w14:textId="77777777" w:rsidR="000D7D16" w:rsidRPr="000D7D16" w:rsidRDefault="000D7D16" w:rsidP="000D7D16">
      <w:pPr>
        <w:rPr>
          <w:b/>
          <w:u w:val="single"/>
          <w:lang w:eastAsia="x-none"/>
        </w:rPr>
      </w:pPr>
      <w:r w:rsidRPr="000D7D16">
        <w:rPr>
          <w:b/>
          <w:highlight w:val="green"/>
          <w:u w:val="single"/>
          <w:lang w:eastAsia="x-none"/>
        </w:rPr>
        <w:t>Agreements:</w:t>
      </w:r>
    </w:p>
    <w:p w14:paraId="5909F0CE" w14:textId="77777777" w:rsidR="000D7D16" w:rsidRPr="000D7D16" w:rsidRDefault="000D7D16" w:rsidP="000D7D16">
      <w:pPr>
        <w:pStyle w:val="ListParagraph"/>
        <w:numPr>
          <w:ilvl w:val="0"/>
          <w:numId w:val="25"/>
        </w:numPr>
        <w:jc w:val="both"/>
        <w:rPr>
          <w:rFonts w:ascii="Times New Roman" w:hAnsi="Times New Roman"/>
          <w:sz w:val="20"/>
          <w:szCs w:val="20"/>
          <w:lang w:eastAsia="x-none"/>
        </w:rPr>
      </w:pPr>
      <w:r w:rsidRPr="000D7D16">
        <w:rPr>
          <w:rFonts w:ascii="Times New Roman" w:hAnsi="Times New Roman"/>
          <w:iCs/>
          <w:color w:val="000000"/>
          <w:kern w:val="2"/>
          <w:sz w:val="20"/>
          <w:szCs w:val="20"/>
          <w:lang w:eastAsia="zh-CN"/>
        </w:rPr>
        <w:t>For the new DCI format for UL scheduling for Rel-16 URLLC, support new RRC configuration for CSI Request and the corresponding table:</w:t>
      </w:r>
    </w:p>
    <w:p w14:paraId="6D67FF27" w14:textId="77777777" w:rsidR="000D7D16" w:rsidRPr="000D7D16" w:rsidRDefault="000D7D16" w:rsidP="000D7D16">
      <w:pPr>
        <w:numPr>
          <w:ilvl w:val="1"/>
          <w:numId w:val="25"/>
        </w:numPr>
        <w:overflowPunct/>
        <w:autoSpaceDE/>
        <w:autoSpaceDN/>
        <w:adjustRightInd/>
        <w:spacing w:after="0"/>
        <w:jc w:val="both"/>
        <w:textAlignment w:val="auto"/>
      </w:pPr>
      <w:r w:rsidRPr="000D7D16">
        <w:t>#of bits: 0 or 1 or 2 or 3 or 4 or 5 or 6 bits, derived the same way as that of Rel-15 non-fallback DCI</w:t>
      </w:r>
    </w:p>
    <w:p w14:paraId="49B45FB9" w14:textId="77777777" w:rsidR="000D7D16" w:rsidRDefault="000D7D16" w:rsidP="000D7D16">
      <w:pPr>
        <w:rPr>
          <w:iCs/>
          <w:color w:val="000000"/>
          <w:kern w:val="2"/>
          <w:lang w:eastAsia="zh-CN"/>
        </w:rPr>
      </w:pPr>
    </w:p>
    <w:p w14:paraId="6706AB8C" w14:textId="77777777" w:rsidR="000D7D16" w:rsidRPr="000D7D16" w:rsidRDefault="000D7D16" w:rsidP="000D7D16">
      <w:pPr>
        <w:rPr>
          <w:b/>
          <w:u w:val="single"/>
          <w:lang w:eastAsia="x-none"/>
        </w:rPr>
      </w:pPr>
      <w:r w:rsidRPr="000D7D16">
        <w:rPr>
          <w:b/>
          <w:highlight w:val="green"/>
          <w:u w:val="single"/>
          <w:lang w:eastAsia="x-none"/>
        </w:rPr>
        <w:t>Agreements:</w:t>
      </w:r>
    </w:p>
    <w:p w14:paraId="05F0156C" w14:textId="77777777" w:rsidR="000D7D16" w:rsidRPr="00C82CE0" w:rsidRDefault="000D7D16" w:rsidP="000D7D16">
      <w:pPr>
        <w:pStyle w:val="ListParagraph"/>
        <w:numPr>
          <w:ilvl w:val="0"/>
          <w:numId w:val="25"/>
        </w:numPr>
        <w:spacing w:after="60"/>
        <w:rPr>
          <w:rFonts w:ascii="Times New Roman" w:hAnsi="Times New Roman"/>
          <w:iCs/>
          <w:color w:val="000000"/>
          <w:kern w:val="2"/>
          <w:sz w:val="20"/>
          <w:lang w:eastAsia="zh-CN"/>
        </w:rPr>
      </w:pPr>
      <w:r w:rsidRPr="00C82CE0">
        <w:rPr>
          <w:rFonts w:ascii="Times New Roman" w:hAnsi="Times New Roman"/>
          <w:iCs/>
          <w:color w:val="000000"/>
          <w:kern w:val="2"/>
          <w:sz w:val="20"/>
          <w:lang w:eastAsia="zh-CN"/>
        </w:rPr>
        <w:t>For the new DCI format for UL scheduling for Rel-16 URLLC, support configurable number of bits for the following fields:</w:t>
      </w:r>
    </w:p>
    <w:p w14:paraId="66727180" w14:textId="77777777" w:rsidR="000D7D16" w:rsidRPr="00C82CE0" w:rsidRDefault="000D7D16" w:rsidP="000D7D16">
      <w:pPr>
        <w:pStyle w:val="ListParagraph"/>
        <w:numPr>
          <w:ilvl w:val="1"/>
          <w:numId w:val="25"/>
        </w:numPr>
        <w:autoSpaceDE w:val="0"/>
        <w:autoSpaceDN w:val="0"/>
        <w:adjustRightInd w:val="0"/>
        <w:snapToGrid w:val="0"/>
        <w:spacing w:after="120"/>
        <w:contextualSpacing/>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SRS resource indicator (0 or 1 or 2 or 3 or 4 bits)</w:t>
      </w:r>
    </w:p>
    <w:p w14:paraId="4F792E37" w14:textId="77777777" w:rsidR="000D7D16" w:rsidRPr="00C82CE0" w:rsidRDefault="000D7D16" w:rsidP="000D7D16">
      <w:pPr>
        <w:pStyle w:val="ListParagraph"/>
        <w:numPr>
          <w:ilvl w:val="2"/>
          <w:numId w:val="25"/>
        </w:numPr>
        <w:autoSpaceDE w:val="0"/>
        <w:autoSpaceDN w:val="0"/>
        <w:adjustRightInd w:val="0"/>
        <w:snapToGrid w:val="0"/>
        <w:spacing w:after="120"/>
        <w:contextualSpacing/>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FFS details of configuration</w:t>
      </w:r>
    </w:p>
    <w:p w14:paraId="76EED157" w14:textId="77777777" w:rsidR="000D7D16" w:rsidRPr="00C82CE0" w:rsidRDefault="000D7D16" w:rsidP="000D7D16">
      <w:pPr>
        <w:pStyle w:val="ListParagraph"/>
        <w:numPr>
          <w:ilvl w:val="1"/>
          <w:numId w:val="25"/>
        </w:numPr>
        <w:autoSpaceDE w:val="0"/>
        <w:autoSpaceDN w:val="0"/>
        <w:adjustRightInd w:val="0"/>
        <w:snapToGrid w:val="0"/>
        <w:spacing w:after="120"/>
        <w:contextualSpacing/>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Precoding information and number of layers (0 or 1 or 2 or 3 or 4 or 5 or 6 bits)</w:t>
      </w:r>
    </w:p>
    <w:p w14:paraId="42E1DCE2" w14:textId="77777777" w:rsidR="000D7D16" w:rsidRPr="00C82CE0" w:rsidRDefault="000D7D16" w:rsidP="000D7D16">
      <w:pPr>
        <w:pStyle w:val="ListParagraph"/>
        <w:numPr>
          <w:ilvl w:val="2"/>
          <w:numId w:val="25"/>
        </w:numPr>
        <w:autoSpaceDE w:val="0"/>
        <w:autoSpaceDN w:val="0"/>
        <w:adjustRightInd w:val="0"/>
        <w:snapToGrid w:val="0"/>
        <w:spacing w:after="120"/>
        <w:contextualSpacing/>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FFS details of configuration</w:t>
      </w:r>
    </w:p>
    <w:p w14:paraId="6DE3A1B1" w14:textId="77777777" w:rsidR="000D7D16" w:rsidRPr="00C82CE0" w:rsidRDefault="000D7D16" w:rsidP="000D7D16">
      <w:pPr>
        <w:pStyle w:val="ListParagraph"/>
        <w:numPr>
          <w:ilvl w:val="1"/>
          <w:numId w:val="25"/>
        </w:numPr>
        <w:autoSpaceDE w:val="0"/>
        <w:autoSpaceDN w:val="0"/>
        <w:adjustRightInd w:val="0"/>
        <w:snapToGrid w:val="0"/>
        <w:spacing w:after="120"/>
        <w:contextualSpacing/>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Antenna port(s) (0 or 2 or 3 or 4 or 5 bits)</w:t>
      </w:r>
    </w:p>
    <w:p w14:paraId="50BEEA1A" w14:textId="77777777" w:rsidR="000D7D16" w:rsidRPr="00C82CE0" w:rsidRDefault="000D7D16" w:rsidP="000D7D16">
      <w:pPr>
        <w:pStyle w:val="ListParagraph"/>
        <w:numPr>
          <w:ilvl w:val="2"/>
          <w:numId w:val="25"/>
        </w:numPr>
        <w:autoSpaceDE w:val="0"/>
        <w:autoSpaceDN w:val="0"/>
        <w:adjustRightInd w:val="0"/>
        <w:snapToGrid w:val="0"/>
        <w:spacing w:after="120"/>
        <w:contextualSpacing/>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FFS details of configuration</w:t>
      </w:r>
    </w:p>
    <w:p w14:paraId="4727C960" w14:textId="77777777" w:rsidR="000D7D16" w:rsidRPr="00C82CE0" w:rsidRDefault="000D7D16" w:rsidP="000D7D16">
      <w:pPr>
        <w:pStyle w:val="ListParagraph"/>
        <w:numPr>
          <w:ilvl w:val="1"/>
          <w:numId w:val="25"/>
        </w:numPr>
        <w:autoSpaceDE w:val="0"/>
        <w:autoSpaceDN w:val="0"/>
        <w:adjustRightInd w:val="0"/>
        <w:snapToGrid w:val="0"/>
        <w:spacing w:after="120"/>
        <w:contextualSpacing/>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SRS request (0 or 2 or 3 bits)</w:t>
      </w:r>
    </w:p>
    <w:p w14:paraId="5C655139" w14:textId="77777777" w:rsidR="000D7D16" w:rsidRPr="00C82CE0" w:rsidRDefault="000D7D16" w:rsidP="000D7D16">
      <w:pPr>
        <w:pStyle w:val="ListParagraph"/>
        <w:numPr>
          <w:ilvl w:val="2"/>
          <w:numId w:val="25"/>
        </w:numPr>
        <w:autoSpaceDE w:val="0"/>
        <w:autoSpaceDN w:val="0"/>
        <w:adjustRightInd w:val="0"/>
        <w:snapToGrid w:val="0"/>
        <w:spacing w:after="120"/>
        <w:contextualSpacing/>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FFS details of configuration</w:t>
      </w:r>
    </w:p>
    <w:p w14:paraId="35E9E062" w14:textId="77777777" w:rsidR="000D7D16" w:rsidRPr="00C82CE0" w:rsidRDefault="000D7D16" w:rsidP="000D7D16">
      <w:pPr>
        <w:pStyle w:val="ListParagraph"/>
        <w:numPr>
          <w:ilvl w:val="1"/>
          <w:numId w:val="25"/>
        </w:numPr>
        <w:autoSpaceDE w:val="0"/>
        <w:autoSpaceDN w:val="0"/>
        <w:adjustRightInd w:val="0"/>
        <w:snapToGrid w:val="0"/>
        <w:spacing w:after="120"/>
        <w:contextualSpacing/>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 xml:space="preserve">DMRS sequence initialization (0 or 1 bit) </w:t>
      </w:r>
    </w:p>
    <w:p w14:paraId="6851DFEC" w14:textId="77777777" w:rsidR="000D7D16" w:rsidRPr="00C82CE0" w:rsidRDefault="000D7D16" w:rsidP="00C82CE0">
      <w:pPr>
        <w:pStyle w:val="ListParagraph"/>
        <w:numPr>
          <w:ilvl w:val="2"/>
          <w:numId w:val="25"/>
        </w:numPr>
        <w:autoSpaceDE w:val="0"/>
        <w:autoSpaceDN w:val="0"/>
        <w:adjustRightInd w:val="0"/>
        <w:snapToGrid w:val="0"/>
        <w:spacing w:after="120"/>
        <w:contextualSpacing/>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New RRC parameter is introduced to configure whether this field is present in the DCI or not</w:t>
      </w:r>
    </w:p>
    <w:p w14:paraId="28085626" w14:textId="77777777" w:rsidR="000D7D16" w:rsidRPr="00C82CE0" w:rsidRDefault="000D7D16" w:rsidP="00C82CE0">
      <w:pPr>
        <w:pStyle w:val="ListParagraph"/>
        <w:numPr>
          <w:ilvl w:val="2"/>
          <w:numId w:val="25"/>
        </w:numPr>
        <w:autoSpaceDE w:val="0"/>
        <w:autoSpaceDN w:val="0"/>
        <w:adjustRightInd w:val="0"/>
        <w:snapToGrid w:val="0"/>
        <w:spacing w:after="120"/>
        <w:contextualSpacing/>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If the field is present, then the number of bits is determined in the same way as in Rel-15</w:t>
      </w:r>
    </w:p>
    <w:p w14:paraId="62DDBB7B" w14:textId="77777777" w:rsidR="000D7D16" w:rsidRPr="00C82CE0" w:rsidRDefault="000D7D16" w:rsidP="000D7D16">
      <w:pPr>
        <w:pStyle w:val="ListParagraph"/>
        <w:numPr>
          <w:ilvl w:val="1"/>
          <w:numId w:val="25"/>
        </w:numPr>
        <w:autoSpaceDE w:val="0"/>
        <w:autoSpaceDN w:val="0"/>
        <w:adjustRightInd w:val="0"/>
        <w:snapToGrid w:val="0"/>
        <w:spacing w:after="120"/>
        <w:contextualSpacing/>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DMRS-PTRS association (0 or 2 bits)</w:t>
      </w:r>
    </w:p>
    <w:p w14:paraId="6F6E490E" w14:textId="77777777" w:rsidR="000D7D16" w:rsidRPr="00C82CE0" w:rsidRDefault="000D7D16" w:rsidP="00C82CE0">
      <w:pPr>
        <w:pStyle w:val="ListParagraph"/>
        <w:numPr>
          <w:ilvl w:val="2"/>
          <w:numId w:val="25"/>
        </w:numPr>
        <w:autoSpaceDE w:val="0"/>
        <w:autoSpaceDN w:val="0"/>
        <w:adjustRightInd w:val="0"/>
        <w:snapToGrid w:val="0"/>
        <w:spacing w:after="120"/>
        <w:contextualSpacing/>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FFS details of configuration</w:t>
      </w:r>
    </w:p>
    <w:p w14:paraId="74F58316" w14:textId="77777777" w:rsidR="000D7D16" w:rsidRPr="00C82CE0" w:rsidRDefault="000D7D16" w:rsidP="000D7D16">
      <w:pPr>
        <w:rPr>
          <w:b/>
          <w:u w:val="single"/>
          <w:lang w:eastAsia="x-none"/>
        </w:rPr>
      </w:pPr>
      <w:r w:rsidRPr="00C82CE0">
        <w:rPr>
          <w:b/>
          <w:highlight w:val="green"/>
          <w:u w:val="single"/>
          <w:lang w:eastAsia="x-none"/>
        </w:rPr>
        <w:t>Agreements:</w:t>
      </w:r>
    </w:p>
    <w:p w14:paraId="09B2DD81" w14:textId="77777777" w:rsidR="000D7D16" w:rsidRPr="00C82CE0" w:rsidRDefault="000D7D16" w:rsidP="00C82CE0">
      <w:pPr>
        <w:pStyle w:val="ListParagraph"/>
        <w:numPr>
          <w:ilvl w:val="0"/>
          <w:numId w:val="25"/>
        </w:numPr>
        <w:spacing w:after="60"/>
        <w:jc w:val="both"/>
        <w:rPr>
          <w:rFonts w:ascii="Times New Roman" w:hAnsi="Times New Roman"/>
          <w:iCs/>
          <w:color w:val="000000"/>
          <w:kern w:val="2"/>
          <w:sz w:val="20"/>
          <w:lang w:eastAsia="zh-CN"/>
        </w:rPr>
      </w:pPr>
      <w:r w:rsidRPr="00C82CE0">
        <w:rPr>
          <w:rFonts w:ascii="Times New Roman" w:hAnsi="Times New Roman"/>
          <w:iCs/>
          <w:color w:val="000000"/>
          <w:kern w:val="2"/>
          <w:sz w:val="20"/>
          <w:lang w:eastAsia="zh-CN"/>
        </w:rPr>
        <w:t xml:space="preserve">Support configurable number of bits (0 or 1 bit) for “Frequency hopping flag” in the new DCI format for UL scheduling for Rel-16 URLLC. </w:t>
      </w:r>
    </w:p>
    <w:p w14:paraId="2DE850BE" w14:textId="77777777" w:rsidR="000D7D16" w:rsidRPr="00C82CE0" w:rsidRDefault="000D7D16" w:rsidP="00C82CE0">
      <w:pPr>
        <w:pStyle w:val="ListParagraph"/>
        <w:numPr>
          <w:ilvl w:val="1"/>
          <w:numId w:val="25"/>
        </w:numPr>
        <w:autoSpaceDE w:val="0"/>
        <w:autoSpaceDN w:val="0"/>
        <w:adjustRightInd w:val="0"/>
        <w:snapToGrid w:val="0"/>
        <w:spacing w:after="120"/>
        <w:contextualSpacing/>
        <w:jc w:val="both"/>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 xml:space="preserve">New RRC parameter is introduced to configure frequency hopping, and the number of bits is determined as the same way in Rel-15   </w:t>
      </w:r>
    </w:p>
    <w:p w14:paraId="446E4950" w14:textId="77777777" w:rsidR="000D7D16" w:rsidRPr="00C82CE0" w:rsidRDefault="000D7D16" w:rsidP="000D7D16">
      <w:pPr>
        <w:rPr>
          <w:b/>
          <w:u w:val="single"/>
          <w:lang w:eastAsia="x-none"/>
        </w:rPr>
      </w:pPr>
      <w:r w:rsidRPr="00C82CE0">
        <w:rPr>
          <w:b/>
          <w:highlight w:val="green"/>
          <w:u w:val="single"/>
          <w:lang w:eastAsia="x-none"/>
        </w:rPr>
        <w:t>Agreements:</w:t>
      </w:r>
    </w:p>
    <w:p w14:paraId="55FF560E" w14:textId="77777777" w:rsidR="000D7D16" w:rsidRPr="00C82CE0" w:rsidRDefault="000D7D16" w:rsidP="00C82CE0">
      <w:pPr>
        <w:pStyle w:val="ListParagraph"/>
        <w:numPr>
          <w:ilvl w:val="0"/>
          <w:numId w:val="25"/>
        </w:numPr>
        <w:spacing w:after="60"/>
        <w:jc w:val="both"/>
        <w:rPr>
          <w:rFonts w:ascii="Times New Roman" w:hAnsi="Times New Roman"/>
          <w:iCs/>
          <w:color w:val="000000"/>
          <w:kern w:val="2"/>
          <w:sz w:val="20"/>
          <w:lang w:eastAsia="zh-CN"/>
        </w:rPr>
      </w:pPr>
      <w:r w:rsidRPr="00C82CE0">
        <w:rPr>
          <w:rFonts w:ascii="Times New Roman" w:hAnsi="Times New Roman"/>
          <w:iCs/>
          <w:color w:val="000000"/>
          <w:kern w:val="2"/>
          <w:sz w:val="20"/>
          <w:lang w:eastAsia="zh-CN"/>
        </w:rPr>
        <w:t>Support “BWP indicator (0 or 1 or 2 bits)” in the new DCI formats scheduling Rel-16 URLLC in the same way as in Rel-15.</w:t>
      </w:r>
    </w:p>
    <w:p w14:paraId="5D11FCC6" w14:textId="51C220FE" w:rsidR="000D7D16" w:rsidRPr="00C82CE0" w:rsidRDefault="000D7D16" w:rsidP="000D7D16">
      <w:pPr>
        <w:pStyle w:val="ListParagraph"/>
        <w:numPr>
          <w:ilvl w:val="1"/>
          <w:numId w:val="25"/>
        </w:numPr>
        <w:autoSpaceDE w:val="0"/>
        <w:autoSpaceDN w:val="0"/>
        <w:adjustRightInd w:val="0"/>
        <w:snapToGrid w:val="0"/>
        <w:spacing w:after="120"/>
        <w:contextualSpacing/>
        <w:jc w:val="both"/>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 xml:space="preserve">Same RRC parameters as that for DCI format 0_1/1_1 are used for this configuration.  </w:t>
      </w:r>
    </w:p>
    <w:p w14:paraId="161B0F4D" w14:textId="77777777" w:rsidR="000D7D16" w:rsidRPr="00C82CE0" w:rsidRDefault="000D7D16" w:rsidP="000D7D16">
      <w:pPr>
        <w:rPr>
          <w:b/>
          <w:u w:val="single"/>
          <w:lang w:eastAsia="x-none"/>
        </w:rPr>
      </w:pPr>
      <w:r w:rsidRPr="00C82CE0">
        <w:rPr>
          <w:b/>
          <w:highlight w:val="green"/>
          <w:u w:val="single"/>
          <w:lang w:eastAsia="x-none"/>
        </w:rPr>
        <w:t>Agreements:</w:t>
      </w:r>
    </w:p>
    <w:p w14:paraId="111B4B29" w14:textId="10D6F5C0" w:rsidR="000D7D16" w:rsidRDefault="000D7D16" w:rsidP="000D7D16">
      <w:pPr>
        <w:pStyle w:val="ListParagraph"/>
        <w:numPr>
          <w:ilvl w:val="0"/>
          <w:numId w:val="25"/>
        </w:numPr>
        <w:jc w:val="both"/>
        <w:rPr>
          <w:rFonts w:ascii="Times New Roman" w:hAnsi="Times New Roman"/>
          <w:iCs/>
          <w:color w:val="000000"/>
          <w:kern w:val="2"/>
          <w:sz w:val="20"/>
          <w:lang w:eastAsia="zh-CN"/>
        </w:rPr>
      </w:pPr>
      <w:r w:rsidRPr="00C82CE0">
        <w:rPr>
          <w:rFonts w:ascii="Times New Roman" w:hAnsi="Times New Roman"/>
          <w:iCs/>
          <w:color w:val="000000"/>
          <w:kern w:val="2"/>
          <w:sz w:val="20"/>
          <w:lang w:eastAsia="zh-CN"/>
        </w:rPr>
        <w:t xml:space="preserve">Support “TPC command for scheduled PUCCH (2 bits)” in the new DCI format for DL scheduling for Rel-16 URLLC in the same way as in </w:t>
      </w:r>
      <w:bookmarkStart w:id="3" w:name="_Hlk22339633"/>
      <w:r w:rsidRPr="00C82CE0">
        <w:rPr>
          <w:rFonts w:ascii="Times New Roman" w:hAnsi="Times New Roman"/>
          <w:iCs/>
          <w:color w:val="000000"/>
          <w:kern w:val="2"/>
          <w:sz w:val="20"/>
          <w:lang w:eastAsia="zh-CN"/>
        </w:rPr>
        <w:t>Rel-15 DCI format 1_0/1_1</w:t>
      </w:r>
      <w:bookmarkEnd w:id="3"/>
      <w:r w:rsidRPr="00C82CE0">
        <w:rPr>
          <w:rFonts w:ascii="Times New Roman" w:hAnsi="Times New Roman"/>
          <w:iCs/>
          <w:color w:val="000000"/>
          <w:kern w:val="2"/>
          <w:sz w:val="20"/>
          <w:lang w:eastAsia="zh-CN"/>
        </w:rPr>
        <w:t>.</w:t>
      </w:r>
    </w:p>
    <w:p w14:paraId="219E8278" w14:textId="77777777" w:rsidR="00C82CE0" w:rsidRPr="00C82CE0" w:rsidRDefault="00C82CE0" w:rsidP="00C82CE0">
      <w:pPr>
        <w:pStyle w:val="ListParagraph"/>
        <w:jc w:val="both"/>
        <w:rPr>
          <w:rFonts w:ascii="Times New Roman" w:hAnsi="Times New Roman"/>
          <w:iCs/>
          <w:color w:val="000000"/>
          <w:kern w:val="2"/>
          <w:sz w:val="20"/>
          <w:lang w:eastAsia="zh-CN"/>
        </w:rPr>
      </w:pPr>
    </w:p>
    <w:p w14:paraId="5F1F25C1" w14:textId="77777777" w:rsidR="000D7D16" w:rsidRPr="00C82CE0" w:rsidRDefault="000D7D16" w:rsidP="000D7D16">
      <w:pPr>
        <w:rPr>
          <w:b/>
          <w:u w:val="single"/>
          <w:lang w:eastAsia="x-none"/>
        </w:rPr>
      </w:pPr>
      <w:r w:rsidRPr="00C82CE0">
        <w:rPr>
          <w:b/>
          <w:highlight w:val="green"/>
          <w:u w:val="single"/>
          <w:lang w:eastAsia="x-none"/>
        </w:rPr>
        <w:t>Agreements:</w:t>
      </w:r>
    </w:p>
    <w:p w14:paraId="792F7478" w14:textId="37C6F658" w:rsidR="000D7D16" w:rsidRDefault="000D7D16" w:rsidP="000D7D16">
      <w:pPr>
        <w:pStyle w:val="ListParagraph"/>
        <w:numPr>
          <w:ilvl w:val="0"/>
          <w:numId w:val="25"/>
        </w:numPr>
        <w:spacing w:after="60"/>
        <w:jc w:val="both"/>
        <w:rPr>
          <w:rFonts w:ascii="Times New Roman" w:hAnsi="Times New Roman"/>
          <w:iCs/>
          <w:color w:val="000000"/>
          <w:kern w:val="2"/>
          <w:sz w:val="20"/>
          <w:lang w:eastAsia="zh-CN"/>
        </w:rPr>
      </w:pPr>
      <w:r w:rsidRPr="00C82CE0">
        <w:rPr>
          <w:rFonts w:ascii="Times New Roman" w:hAnsi="Times New Roman"/>
          <w:iCs/>
          <w:color w:val="000000"/>
          <w:kern w:val="2"/>
          <w:sz w:val="20"/>
          <w:lang w:eastAsia="zh-CN"/>
        </w:rPr>
        <w:t>Support “TPC command for scheduled PUSCH (2 bits)” in the new DCI format for UL scheduling for Rel-16 URLLC in the same way as in Rel-15 DCI format 0_0/0_1.</w:t>
      </w:r>
    </w:p>
    <w:p w14:paraId="66E56F4C" w14:textId="77777777" w:rsidR="00C82CE0" w:rsidRPr="00C82CE0" w:rsidRDefault="00C82CE0" w:rsidP="00C82CE0">
      <w:pPr>
        <w:pStyle w:val="ListParagraph"/>
        <w:spacing w:after="60"/>
        <w:jc w:val="both"/>
        <w:rPr>
          <w:rFonts w:ascii="Times New Roman" w:hAnsi="Times New Roman"/>
          <w:iCs/>
          <w:color w:val="000000"/>
          <w:kern w:val="2"/>
          <w:sz w:val="20"/>
          <w:lang w:eastAsia="zh-CN"/>
        </w:rPr>
      </w:pPr>
    </w:p>
    <w:p w14:paraId="2C940F63" w14:textId="77777777" w:rsidR="000D7D16" w:rsidRPr="00C82CE0" w:rsidRDefault="000D7D16" w:rsidP="000D7D16">
      <w:pPr>
        <w:rPr>
          <w:b/>
          <w:u w:val="single"/>
          <w:lang w:eastAsia="x-none"/>
        </w:rPr>
      </w:pPr>
      <w:r w:rsidRPr="00C82CE0">
        <w:rPr>
          <w:b/>
          <w:highlight w:val="green"/>
          <w:u w:val="single"/>
          <w:lang w:eastAsia="x-none"/>
        </w:rPr>
        <w:t>Agreements:</w:t>
      </w:r>
    </w:p>
    <w:p w14:paraId="471F231A" w14:textId="77777777" w:rsidR="000D7D16" w:rsidRPr="00C82CE0" w:rsidRDefault="000D7D16" w:rsidP="00C82CE0">
      <w:pPr>
        <w:pStyle w:val="ListParagraph"/>
        <w:numPr>
          <w:ilvl w:val="0"/>
          <w:numId w:val="25"/>
        </w:numPr>
        <w:spacing w:after="60"/>
        <w:jc w:val="both"/>
        <w:rPr>
          <w:rFonts w:ascii="Times New Roman" w:hAnsi="Times New Roman"/>
          <w:iCs/>
          <w:color w:val="000000"/>
          <w:kern w:val="2"/>
          <w:sz w:val="20"/>
          <w:lang w:eastAsia="zh-CN"/>
        </w:rPr>
      </w:pPr>
      <w:r w:rsidRPr="00C82CE0">
        <w:rPr>
          <w:rFonts w:ascii="Times New Roman" w:hAnsi="Times New Roman"/>
          <w:iCs/>
          <w:color w:val="000000"/>
          <w:kern w:val="2"/>
          <w:sz w:val="20"/>
          <w:lang w:eastAsia="zh-CN"/>
        </w:rPr>
        <w:t>Support the HARQ process number field in the new DCI format in DL and in the new DCI format in UL to be additionally configurable to 0 or 1 bit.</w:t>
      </w:r>
    </w:p>
    <w:p w14:paraId="109289FE" w14:textId="77777777" w:rsidR="000D7D16" w:rsidRPr="00C82CE0" w:rsidRDefault="000D7D16" w:rsidP="00C82CE0">
      <w:pPr>
        <w:pStyle w:val="ListParagraph"/>
        <w:numPr>
          <w:ilvl w:val="1"/>
          <w:numId w:val="25"/>
        </w:numPr>
        <w:autoSpaceDE w:val="0"/>
        <w:autoSpaceDN w:val="0"/>
        <w:adjustRightInd w:val="0"/>
        <w:snapToGrid w:val="0"/>
        <w:spacing w:after="120"/>
        <w:contextualSpacing/>
        <w:jc w:val="both"/>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lastRenderedPageBreak/>
        <w:t xml:space="preserve">The values of the HARQ process number field can map from 0 to 2^(the number of bits)-1. </w:t>
      </w:r>
    </w:p>
    <w:p w14:paraId="60C49E2D" w14:textId="77777777" w:rsidR="000D7D16" w:rsidRPr="00C82CE0" w:rsidRDefault="000D7D16" w:rsidP="00C82CE0">
      <w:pPr>
        <w:pStyle w:val="ListParagraph"/>
        <w:numPr>
          <w:ilvl w:val="1"/>
          <w:numId w:val="25"/>
        </w:numPr>
        <w:autoSpaceDE w:val="0"/>
        <w:autoSpaceDN w:val="0"/>
        <w:adjustRightInd w:val="0"/>
        <w:snapToGrid w:val="0"/>
        <w:spacing w:after="120"/>
        <w:contextualSpacing/>
        <w:jc w:val="both"/>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Note: no additional specification effort for configuring 0 bit or 1 bit is expected</w:t>
      </w:r>
    </w:p>
    <w:p w14:paraId="1E8EC2D5" w14:textId="77777777" w:rsidR="00C82CE0" w:rsidRDefault="000D7D16" w:rsidP="00C82CE0">
      <w:pPr>
        <w:spacing w:after="60"/>
        <w:rPr>
          <w:b/>
          <w:iCs/>
          <w:color w:val="000000"/>
          <w:kern w:val="2"/>
          <w:u w:val="single"/>
          <w:lang w:eastAsia="zh-CN"/>
        </w:rPr>
      </w:pPr>
      <w:r w:rsidRPr="00C82CE0">
        <w:rPr>
          <w:b/>
          <w:iCs/>
          <w:color w:val="000000"/>
          <w:kern w:val="2"/>
          <w:highlight w:val="green"/>
          <w:u w:val="single"/>
          <w:lang w:eastAsia="zh-CN"/>
        </w:rPr>
        <w:t>Agreements:</w:t>
      </w:r>
    </w:p>
    <w:p w14:paraId="2D6DD26C" w14:textId="4653F946" w:rsidR="00C82CE0" w:rsidRPr="00C82CE0" w:rsidRDefault="000D7D16" w:rsidP="00C82CE0">
      <w:pPr>
        <w:pStyle w:val="ListParagraph"/>
        <w:numPr>
          <w:ilvl w:val="0"/>
          <w:numId w:val="25"/>
        </w:numPr>
        <w:spacing w:after="60"/>
        <w:jc w:val="both"/>
        <w:rPr>
          <w:rFonts w:ascii="Times New Roman" w:eastAsia="SimSun" w:hAnsi="Times New Roman"/>
          <w:b/>
          <w:iCs/>
          <w:color w:val="000000"/>
          <w:kern w:val="2"/>
          <w:sz w:val="20"/>
          <w:szCs w:val="20"/>
          <w:u w:val="single"/>
          <w:lang w:eastAsia="zh-CN"/>
        </w:rPr>
      </w:pPr>
      <w:r w:rsidRPr="00C82CE0">
        <w:rPr>
          <w:rFonts w:ascii="Times New Roman" w:hAnsi="Times New Roman"/>
          <w:iCs/>
          <w:color w:val="000000"/>
          <w:kern w:val="2"/>
          <w:sz w:val="20"/>
          <w:lang w:eastAsia="zh-CN"/>
        </w:rPr>
        <w:t>Reuse the same non-configurable 1 bit of “UL-SCH indicator” as in</w:t>
      </w:r>
      <w:r w:rsidRPr="00C82CE0">
        <w:rPr>
          <w:rFonts w:ascii="Times New Roman" w:hAnsi="Times New Roman"/>
          <w:sz w:val="20"/>
        </w:rPr>
        <w:t xml:space="preserve"> </w:t>
      </w:r>
      <w:r w:rsidRPr="00C82CE0">
        <w:rPr>
          <w:rFonts w:ascii="Times New Roman" w:hAnsi="Times New Roman"/>
          <w:iCs/>
          <w:color w:val="000000"/>
          <w:kern w:val="2"/>
          <w:sz w:val="20"/>
          <w:lang w:eastAsia="zh-CN"/>
        </w:rPr>
        <w:t>Rel-15 DCI format 0_1 for the new DCI format for UL scheduling</w:t>
      </w:r>
    </w:p>
    <w:p w14:paraId="6E2033C8" w14:textId="77777777" w:rsidR="00C82CE0" w:rsidRDefault="00C82CE0" w:rsidP="000D7D16">
      <w:pPr>
        <w:rPr>
          <w:highlight w:val="green"/>
          <w:lang w:eastAsia="x-none"/>
        </w:rPr>
      </w:pPr>
    </w:p>
    <w:p w14:paraId="1380AEDB" w14:textId="0BC3B5C0" w:rsidR="000D7D16" w:rsidRPr="009222A3" w:rsidRDefault="000D7D16" w:rsidP="000D7D16">
      <w:pPr>
        <w:rPr>
          <w:lang w:eastAsia="x-none"/>
        </w:rPr>
      </w:pPr>
      <w:r w:rsidRPr="00C82CE0">
        <w:rPr>
          <w:b/>
          <w:highlight w:val="green"/>
          <w:u w:val="single"/>
          <w:lang w:eastAsia="x-none"/>
        </w:rPr>
        <w:t>Agreements</w:t>
      </w:r>
      <w:r w:rsidRPr="00C82CE0">
        <w:rPr>
          <w:highlight w:val="green"/>
          <w:lang w:eastAsia="x-none"/>
        </w:rPr>
        <w:t>:</w:t>
      </w:r>
    </w:p>
    <w:p w14:paraId="4AC0B7E3" w14:textId="77777777" w:rsidR="000D7D16" w:rsidRPr="00C82CE0" w:rsidRDefault="000D7D16" w:rsidP="00C82CE0">
      <w:pPr>
        <w:pStyle w:val="ListParagraph"/>
        <w:numPr>
          <w:ilvl w:val="0"/>
          <w:numId w:val="25"/>
        </w:numPr>
        <w:spacing w:after="60"/>
        <w:jc w:val="both"/>
        <w:rPr>
          <w:rFonts w:ascii="Times New Roman" w:hAnsi="Times New Roman"/>
          <w:color w:val="000000"/>
          <w:kern w:val="2"/>
          <w:sz w:val="20"/>
          <w:lang w:eastAsia="zh-CN"/>
        </w:rPr>
      </w:pPr>
      <w:r w:rsidRPr="00C82CE0">
        <w:rPr>
          <w:rFonts w:ascii="Times New Roman" w:hAnsi="Times New Roman"/>
          <w:color w:val="000000"/>
          <w:kern w:val="2"/>
          <w:sz w:val="20"/>
          <w:lang w:eastAsia="zh-CN"/>
        </w:rPr>
        <w:t xml:space="preserve">Support “UL/SUL indicator (0 or 1 bit)” in the new DCI format for UL scheduling for Rel-16 URLLC as in Rel-15 DCI format 0_1. </w:t>
      </w:r>
    </w:p>
    <w:p w14:paraId="5E5B5F5F" w14:textId="77777777" w:rsidR="000D7D16" w:rsidRPr="00C82CE0" w:rsidRDefault="000D7D16" w:rsidP="00C82CE0">
      <w:pPr>
        <w:pStyle w:val="ListParagraph"/>
        <w:numPr>
          <w:ilvl w:val="1"/>
          <w:numId w:val="25"/>
        </w:numPr>
        <w:autoSpaceDE w:val="0"/>
        <w:autoSpaceDN w:val="0"/>
        <w:adjustRightInd w:val="0"/>
        <w:snapToGrid w:val="0"/>
        <w:spacing w:after="120"/>
        <w:contextualSpacing/>
        <w:jc w:val="both"/>
        <w:rPr>
          <w:rFonts w:ascii="Times New Roman" w:hAnsi="Times New Roman"/>
          <w:color w:val="000000"/>
          <w:kern w:val="2"/>
          <w:sz w:val="20"/>
          <w:szCs w:val="20"/>
          <w:lang w:eastAsia="zh-CN"/>
        </w:rPr>
      </w:pPr>
      <w:r w:rsidRPr="00C82CE0">
        <w:rPr>
          <w:rFonts w:ascii="Times New Roman" w:hAnsi="Times New Roman"/>
          <w:color w:val="000000"/>
          <w:kern w:val="2"/>
          <w:sz w:val="20"/>
          <w:szCs w:val="20"/>
          <w:lang w:eastAsia="zh-CN"/>
        </w:rPr>
        <w:t xml:space="preserve">Same RRC configuration for DCI format 0_1 and the new DCI format for UL scheduling </w:t>
      </w:r>
    </w:p>
    <w:p w14:paraId="5A2A4AB2" w14:textId="65178D6A" w:rsidR="000D7D16" w:rsidRPr="00C82CE0" w:rsidRDefault="000D7D16" w:rsidP="00C82CE0">
      <w:pPr>
        <w:jc w:val="both"/>
        <w:rPr>
          <w:b/>
          <w:u w:val="single"/>
        </w:rPr>
      </w:pPr>
      <w:r w:rsidRPr="00C82CE0">
        <w:rPr>
          <w:b/>
          <w:highlight w:val="green"/>
          <w:u w:val="single"/>
        </w:rPr>
        <w:t>Agreements:</w:t>
      </w:r>
    </w:p>
    <w:p w14:paraId="23807E02" w14:textId="77777777" w:rsidR="000D7D16" w:rsidRPr="00C82CE0" w:rsidRDefault="000D7D16" w:rsidP="00C82CE0">
      <w:pPr>
        <w:pStyle w:val="ListParagraph"/>
        <w:numPr>
          <w:ilvl w:val="0"/>
          <w:numId w:val="25"/>
        </w:numPr>
        <w:spacing w:after="60"/>
        <w:jc w:val="both"/>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 xml:space="preserve">Support configurable size for “PUCCH resource indicator (0 or 1 or 2 or 3 bits)” for the new DCI format for DL scheduling.  </w:t>
      </w:r>
    </w:p>
    <w:p w14:paraId="136EE96C" w14:textId="77777777" w:rsidR="000D7D16" w:rsidRPr="00C82CE0" w:rsidRDefault="000D7D16" w:rsidP="00C82CE0">
      <w:pPr>
        <w:pStyle w:val="ListParagraph"/>
        <w:numPr>
          <w:ilvl w:val="1"/>
          <w:numId w:val="25"/>
        </w:numPr>
        <w:autoSpaceDE w:val="0"/>
        <w:autoSpaceDN w:val="0"/>
        <w:adjustRightInd w:val="0"/>
        <w:snapToGrid w:val="0"/>
        <w:spacing w:after="120"/>
        <w:contextualSpacing/>
        <w:jc w:val="both"/>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New RRC parameter is introduced to for the configuration</w:t>
      </w:r>
    </w:p>
    <w:p w14:paraId="20FD8DC8" w14:textId="77777777" w:rsidR="000D7D16" w:rsidRPr="00C82CE0" w:rsidRDefault="000D7D16" w:rsidP="000D7D16">
      <w:pPr>
        <w:rPr>
          <w:b/>
          <w:u w:val="single"/>
        </w:rPr>
      </w:pPr>
      <w:r w:rsidRPr="00C82CE0">
        <w:rPr>
          <w:b/>
          <w:highlight w:val="green"/>
          <w:u w:val="single"/>
        </w:rPr>
        <w:t>Agreements:</w:t>
      </w:r>
    </w:p>
    <w:p w14:paraId="3A34F850" w14:textId="77777777" w:rsidR="000D7D16" w:rsidRPr="00C82CE0" w:rsidRDefault="000D7D16" w:rsidP="00C82CE0">
      <w:pPr>
        <w:pStyle w:val="ListParagraph"/>
        <w:numPr>
          <w:ilvl w:val="0"/>
          <w:numId w:val="25"/>
        </w:numPr>
        <w:spacing w:after="60"/>
        <w:jc w:val="both"/>
        <w:rPr>
          <w:rFonts w:ascii="Times New Roman" w:hAnsi="Times New Roman"/>
          <w:iCs/>
          <w:color w:val="000000"/>
          <w:kern w:val="2"/>
          <w:sz w:val="20"/>
          <w:lang w:eastAsia="zh-CN"/>
        </w:rPr>
      </w:pPr>
      <w:r w:rsidRPr="00C82CE0">
        <w:rPr>
          <w:rFonts w:ascii="Times New Roman" w:hAnsi="Times New Roman"/>
          <w:iCs/>
          <w:color w:val="000000"/>
          <w:kern w:val="2"/>
          <w:sz w:val="20"/>
          <w:lang w:eastAsia="zh-CN"/>
        </w:rPr>
        <w:t xml:space="preserve">Support configurable size for “PDSCH-to-HARQ_feedback timing indicator (0 or 1 or 2 or 3 bits)” for the new DCI format for DL scheduling.  </w:t>
      </w:r>
    </w:p>
    <w:p w14:paraId="27937D65" w14:textId="2C539589" w:rsidR="00C82CE0" w:rsidRPr="00C82CE0" w:rsidRDefault="000D7D16" w:rsidP="00C82CE0">
      <w:pPr>
        <w:pStyle w:val="ListParagraph"/>
        <w:numPr>
          <w:ilvl w:val="1"/>
          <w:numId w:val="25"/>
        </w:numPr>
        <w:autoSpaceDE w:val="0"/>
        <w:autoSpaceDN w:val="0"/>
        <w:adjustRightInd w:val="0"/>
        <w:snapToGrid w:val="0"/>
        <w:spacing w:after="120"/>
        <w:contextualSpacing/>
        <w:jc w:val="both"/>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New RRC parameter is introduced to for the configuration</w:t>
      </w:r>
    </w:p>
    <w:p w14:paraId="0B8E792D" w14:textId="77777777" w:rsidR="000D7D16" w:rsidRPr="00C82CE0" w:rsidRDefault="000D7D16" w:rsidP="000D7D16">
      <w:pPr>
        <w:rPr>
          <w:b/>
          <w:u w:val="single"/>
        </w:rPr>
      </w:pPr>
      <w:r w:rsidRPr="00C82CE0">
        <w:rPr>
          <w:b/>
          <w:highlight w:val="green"/>
          <w:u w:val="single"/>
        </w:rPr>
        <w:t>Agreements:</w:t>
      </w:r>
    </w:p>
    <w:p w14:paraId="73CB6BEA" w14:textId="77777777" w:rsidR="000D7D16" w:rsidRPr="00C82CE0" w:rsidRDefault="000D7D16" w:rsidP="00C82CE0">
      <w:pPr>
        <w:pStyle w:val="ListParagraph"/>
        <w:numPr>
          <w:ilvl w:val="0"/>
          <w:numId w:val="25"/>
        </w:numPr>
        <w:spacing w:after="60"/>
        <w:jc w:val="both"/>
        <w:rPr>
          <w:rFonts w:ascii="Times New Roman" w:hAnsi="Times New Roman"/>
          <w:color w:val="000000"/>
          <w:kern w:val="2"/>
          <w:sz w:val="20"/>
          <w:lang w:eastAsia="zh-CN"/>
        </w:rPr>
      </w:pPr>
      <w:r w:rsidRPr="00C82CE0">
        <w:rPr>
          <w:rFonts w:ascii="Times New Roman" w:hAnsi="Times New Roman"/>
          <w:color w:val="000000"/>
          <w:kern w:val="2"/>
          <w:sz w:val="20"/>
          <w:lang w:eastAsia="zh-CN"/>
        </w:rPr>
        <w:t xml:space="preserve">Support configurable size for “beta offset indicator (0 or 1 or 2 bits)” for the new DCI format for UL scheduling.  </w:t>
      </w:r>
    </w:p>
    <w:p w14:paraId="5DF7F587" w14:textId="77777777" w:rsidR="000D7D16" w:rsidRPr="00C82CE0" w:rsidRDefault="000D7D16" w:rsidP="00C82CE0">
      <w:pPr>
        <w:pStyle w:val="ListParagraph"/>
        <w:numPr>
          <w:ilvl w:val="1"/>
          <w:numId w:val="25"/>
        </w:numPr>
        <w:autoSpaceDE w:val="0"/>
        <w:autoSpaceDN w:val="0"/>
        <w:adjustRightInd w:val="0"/>
        <w:snapToGrid w:val="0"/>
        <w:spacing w:after="120"/>
        <w:contextualSpacing/>
        <w:jc w:val="both"/>
        <w:rPr>
          <w:rFonts w:ascii="Times New Roman" w:hAnsi="Times New Roman"/>
          <w:color w:val="000000"/>
          <w:kern w:val="2"/>
          <w:sz w:val="20"/>
          <w:szCs w:val="20"/>
          <w:lang w:eastAsia="zh-CN"/>
        </w:rPr>
      </w:pPr>
      <w:r w:rsidRPr="00C82CE0">
        <w:rPr>
          <w:rFonts w:ascii="Times New Roman" w:hAnsi="Times New Roman"/>
          <w:color w:val="000000"/>
          <w:kern w:val="2"/>
          <w:sz w:val="20"/>
          <w:szCs w:val="20"/>
          <w:lang w:eastAsia="zh-CN"/>
        </w:rPr>
        <w:t>New RRC parameter is introduced to for the configuration</w:t>
      </w:r>
    </w:p>
    <w:p w14:paraId="0C933043" w14:textId="53006648" w:rsidR="000D7D16" w:rsidRPr="00C82CE0" w:rsidRDefault="000D7D16" w:rsidP="000D7D16">
      <w:pPr>
        <w:rPr>
          <w:b/>
          <w:u w:val="single"/>
        </w:rPr>
      </w:pPr>
      <w:r w:rsidRPr="00C82CE0">
        <w:rPr>
          <w:b/>
          <w:highlight w:val="green"/>
          <w:u w:val="single"/>
        </w:rPr>
        <w:t>Agreements:</w:t>
      </w:r>
    </w:p>
    <w:p w14:paraId="05AF2341" w14:textId="77777777" w:rsidR="000D7D16" w:rsidRPr="00C82CE0" w:rsidRDefault="000D7D16" w:rsidP="00C82CE0">
      <w:pPr>
        <w:pStyle w:val="ListParagraph"/>
        <w:numPr>
          <w:ilvl w:val="0"/>
          <w:numId w:val="25"/>
        </w:numPr>
        <w:spacing w:after="60"/>
        <w:rPr>
          <w:rFonts w:ascii="Times New Roman" w:hAnsi="Times New Roman"/>
          <w:iCs/>
          <w:color w:val="000000"/>
          <w:kern w:val="2"/>
          <w:sz w:val="20"/>
          <w:lang w:eastAsia="zh-CN"/>
        </w:rPr>
      </w:pPr>
      <w:r w:rsidRPr="00C82CE0">
        <w:rPr>
          <w:rFonts w:ascii="Times New Roman" w:hAnsi="Times New Roman"/>
          <w:iCs/>
          <w:color w:val="000000"/>
          <w:kern w:val="2"/>
          <w:sz w:val="20"/>
          <w:lang w:eastAsia="zh-CN"/>
        </w:rPr>
        <w:t xml:space="preserve">Support configurable size for “Downlink assignment index (0 or 1 or 2 or 4 bits)” for the new DCI format for UL scheduling.  </w:t>
      </w:r>
    </w:p>
    <w:p w14:paraId="28598064" w14:textId="29C355E2" w:rsidR="000D7D16" w:rsidRPr="00C82CE0" w:rsidRDefault="000D7D16" w:rsidP="000D7D16">
      <w:pPr>
        <w:pStyle w:val="ListParagraph"/>
        <w:numPr>
          <w:ilvl w:val="1"/>
          <w:numId w:val="25"/>
        </w:numPr>
        <w:autoSpaceDE w:val="0"/>
        <w:autoSpaceDN w:val="0"/>
        <w:adjustRightInd w:val="0"/>
        <w:snapToGrid w:val="0"/>
        <w:spacing w:after="120"/>
        <w:contextualSpacing/>
        <w:jc w:val="both"/>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New RRC parameter is introduced to for the configuration</w:t>
      </w:r>
    </w:p>
    <w:p w14:paraId="0C9F3C18" w14:textId="77777777" w:rsidR="000D7D16" w:rsidRPr="00C82CE0" w:rsidRDefault="000D7D16" w:rsidP="000D7D16">
      <w:pPr>
        <w:rPr>
          <w:b/>
          <w:u w:val="single"/>
        </w:rPr>
      </w:pPr>
      <w:r w:rsidRPr="00C82CE0">
        <w:rPr>
          <w:b/>
          <w:highlight w:val="green"/>
          <w:u w:val="single"/>
        </w:rPr>
        <w:t>Agreements:</w:t>
      </w:r>
    </w:p>
    <w:p w14:paraId="53D12E4C" w14:textId="77777777" w:rsidR="000D7D16" w:rsidRPr="00C82CE0" w:rsidRDefault="000D7D16" w:rsidP="00C82CE0">
      <w:pPr>
        <w:pStyle w:val="ListParagraph"/>
        <w:numPr>
          <w:ilvl w:val="0"/>
          <w:numId w:val="25"/>
        </w:numPr>
        <w:spacing w:after="60"/>
        <w:jc w:val="both"/>
        <w:rPr>
          <w:rFonts w:ascii="Times New Roman" w:hAnsi="Times New Roman"/>
          <w:iCs/>
          <w:color w:val="000000"/>
          <w:kern w:val="2"/>
          <w:sz w:val="20"/>
          <w:lang w:eastAsia="zh-CN"/>
        </w:rPr>
      </w:pPr>
      <w:r w:rsidRPr="00C82CE0">
        <w:rPr>
          <w:rFonts w:ascii="Times New Roman" w:hAnsi="Times New Roman"/>
          <w:iCs/>
          <w:color w:val="000000"/>
          <w:kern w:val="2"/>
          <w:sz w:val="20"/>
          <w:lang w:eastAsia="zh-CN"/>
        </w:rPr>
        <w:t xml:space="preserve">Support configurable size for “Downlink assignment index (0 or 1 or 2 or 4 bits)” for the new DCI format for DL scheduling.  </w:t>
      </w:r>
    </w:p>
    <w:p w14:paraId="0CD173E8" w14:textId="6908D17C" w:rsidR="000D7D16" w:rsidRPr="00C82CE0" w:rsidRDefault="000D7D16" w:rsidP="00C82CE0">
      <w:pPr>
        <w:pStyle w:val="ListParagraph"/>
        <w:numPr>
          <w:ilvl w:val="1"/>
          <w:numId w:val="25"/>
        </w:numPr>
        <w:autoSpaceDE w:val="0"/>
        <w:autoSpaceDN w:val="0"/>
        <w:adjustRightInd w:val="0"/>
        <w:snapToGrid w:val="0"/>
        <w:spacing w:after="120"/>
        <w:contextualSpacing/>
        <w:jc w:val="both"/>
        <w:rPr>
          <w:rFonts w:ascii="Times New Roman" w:hAnsi="Times New Roman"/>
          <w:iCs/>
          <w:color w:val="000000"/>
          <w:kern w:val="2"/>
          <w:sz w:val="20"/>
          <w:szCs w:val="20"/>
          <w:lang w:eastAsia="zh-CN"/>
        </w:rPr>
      </w:pPr>
      <w:r w:rsidRPr="00C82CE0">
        <w:rPr>
          <w:rFonts w:ascii="Times New Roman" w:hAnsi="Times New Roman"/>
          <w:iCs/>
          <w:color w:val="000000"/>
          <w:kern w:val="2"/>
          <w:sz w:val="20"/>
          <w:szCs w:val="20"/>
          <w:lang w:eastAsia="zh-CN"/>
        </w:rPr>
        <w:t>New RRC parameter is introduced to for the configuration</w:t>
      </w:r>
    </w:p>
    <w:p w14:paraId="21E24F34" w14:textId="15921961" w:rsidR="00F45534" w:rsidRPr="00487EB7" w:rsidRDefault="00053F3C" w:rsidP="00DE44D6">
      <w:pPr>
        <w:tabs>
          <w:tab w:val="num" w:pos="1800"/>
        </w:tabs>
        <w:jc w:val="both"/>
        <w:rPr>
          <w:rFonts w:asciiTheme="majorBidi" w:hAnsiTheme="majorBidi" w:cstheme="majorBidi"/>
          <w:bCs/>
          <w:iCs/>
          <w:szCs w:val="22"/>
        </w:rPr>
      </w:pPr>
      <w:r w:rsidRPr="00487EB7">
        <w:rPr>
          <w:rFonts w:asciiTheme="majorBidi" w:hAnsiTheme="majorBidi" w:cstheme="majorBidi"/>
          <w:bCs/>
          <w:iCs/>
          <w:szCs w:val="22"/>
        </w:rPr>
        <w:t>I</w:t>
      </w:r>
      <w:r w:rsidR="00F45534" w:rsidRPr="00487EB7">
        <w:rPr>
          <w:rFonts w:asciiTheme="majorBidi" w:hAnsiTheme="majorBidi" w:cstheme="majorBidi"/>
          <w:bCs/>
          <w:iCs/>
          <w:szCs w:val="22"/>
        </w:rPr>
        <w:t xml:space="preserve">n this paper, we </w:t>
      </w:r>
      <w:r w:rsidR="00B13A6E" w:rsidRPr="00487EB7">
        <w:rPr>
          <w:rFonts w:asciiTheme="majorBidi" w:hAnsiTheme="majorBidi" w:cstheme="majorBidi"/>
          <w:bCs/>
          <w:iCs/>
          <w:szCs w:val="22"/>
        </w:rPr>
        <w:t>share our view</w:t>
      </w:r>
      <w:r w:rsidR="00164CCE" w:rsidRPr="00487EB7">
        <w:rPr>
          <w:rFonts w:asciiTheme="majorBidi" w:hAnsiTheme="majorBidi" w:cstheme="majorBidi"/>
          <w:bCs/>
          <w:iCs/>
          <w:szCs w:val="22"/>
        </w:rPr>
        <w:t>s</w:t>
      </w:r>
      <w:r w:rsidR="00B13A6E" w:rsidRPr="00487EB7">
        <w:rPr>
          <w:rFonts w:asciiTheme="majorBidi" w:hAnsiTheme="majorBidi" w:cstheme="majorBidi"/>
          <w:bCs/>
          <w:iCs/>
          <w:szCs w:val="22"/>
        </w:rPr>
        <w:t xml:space="preserve"> on the following aspects </w:t>
      </w:r>
      <w:r w:rsidR="00F45534" w:rsidRPr="00487EB7">
        <w:rPr>
          <w:rFonts w:asciiTheme="majorBidi" w:hAnsiTheme="majorBidi" w:cstheme="majorBidi"/>
          <w:bCs/>
          <w:iCs/>
          <w:szCs w:val="22"/>
        </w:rPr>
        <w:t>for improving PDCCH reliability</w:t>
      </w:r>
      <w:r w:rsidR="00384485" w:rsidRPr="00487EB7">
        <w:rPr>
          <w:rFonts w:asciiTheme="majorBidi" w:hAnsiTheme="majorBidi" w:cstheme="majorBidi"/>
          <w:bCs/>
          <w:iCs/>
          <w:szCs w:val="22"/>
        </w:rPr>
        <w:t xml:space="preserve"> and efficiency for URLLC</w:t>
      </w:r>
      <w:r w:rsidR="00F45534" w:rsidRPr="00487EB7">
        <w:rPr>
          <w:rFonts w:asciiTheme="majorBidi" w:hAnsiTheme="majorBidi" w:cstheme="majorBidi"/>
          <w:bCs/>
          <w:iCs/>
          <w:szCs w:val="22"/>
        </w:rPr>
        <w:t>:</w:t>
      </w:r>
    </w:p>
    <w:p w14:paraId="753140C9" w14:textId="08C79D25" w:rsidR="00F45534" w:rsidRPr="00487EB7" w:rsidRDefault="00DE2A52" w:rsidP="00DE2A52">
      <w:pPr>
        <w:pStyle w:val="ListParagraph"/>
        <w:numPr>
          <w:ilvl w:val="0"/>
          <w:numId w:val="6"/>
        </w:numPr>
        <w:tabs>
          <w:tab w:val="num" w:pos="1800"/>
        </w:tabs>
        <w:jc w:val="both"/>
        <w:rPr>
          <w:rFonts w:asciiTheme="majorBidi" w:hAnsiTheme="majorBidi" w:cstheme="majorBidi"/>
          <w:bCs/>
          <w:iCs/>
          <w:sz w:val="20"/>
        </w:rPr>
      </w:pPr>
      <w:r w:rsidRPr="00487EB7">
        <w:rPr>
          <w:rFonts w:asciiTheme="majorBidi" w:hAnsiTheme="majorBidi" w:cstheme="majorBidi"/>
          <w:bCs/>
          <w:iCs/>
          <w:sz w:val="20"/>
        </w:rPr>
        <w:t>New DCI design for eURLLC including the possible size of information fields and the addition of the new fields.</w:t>
      </w:r>
    </w:p>
    <w:p w14:paraId="730CFE86" w14:textId="5DA5BADB" w:rsidR="00FD441E" w:rsidRPr="00487EB7" w:rsidRDefault="00487EB7" w:rsidP="00AE322B">
      <w:pPr>
        <w:pStyle w:val="ListParagraph"/>
        <w:numPr>
          <w:ilvl w:val="0"/>
          <w:numId w:val="6"/>
        </w:numPr>
        <w:tabs>
          <w:tab w:val="num" w:pos="1800"/>
        </w:tabs>
        <w:jc w:val="both"/>
        <w:rPr>
          <w:rFonts w:asciiTheme="majorBidi" w:hAnsiTheme="majorBidi" w:cstheme="majorBidi"/>
          <w:bCs/>
          <w:iCs/>
          <w:sz w:val="20"/>
        </w:rPr>
      </w:pPr>
      <w:r>
        <w:rPr>
          <w:rFonts w:asciiTheme="majorBidi" w:hAnsiTheme="majorBidi" w:cstheme="majorBidi"/>
          <w:bCs/>
          <w:iCs/>
          <w:sz w:val="20"/>
        </w:rPr>
        <w:t xml:space="preserve">Details of URLLC PDCCH monitoring capability, limitaions and configurations </w:t>
      </w:r>
    </w:p>
    <w:p w14:paraId="6B1D5F15" w14:textId="5A214970" w:rsidR="00FD441E" w:rsidRPr="00DE44D6" w:rsidRDefault="00FD441E" w:rsidP="00FD441E">
      <w:pPr>
        <w:pStyle w:val="Heading1"/>
        <w:jc w:val="both"/>
        <w:rPr>
          <w:rFonts w:ascii="Times New Roman" w:hAnsi="Times New Roman"/>
        </w:rPr>
      </w:pPr>
      <w:r>
        <w:rPr>
          <w:rFonts w:ascii="Times New Roman" w:hAnsi="Times New Roman"/>
        </w:rPr>
        <w:t xml:space="preserve">New DCI for eURLLC Scheduling </w:t>
      </w:r>
    </w:p>
    <w:p w14:paraId="4BEB1E76" w14:textId="7B774F32" w:rsidR="00FD441E" w:rsidRPr="00393F66" w:rsidRDefault="00FE0769" w:rsidP="00FD441E">
      <w:pPr>
        <w:tabs>
          <w:tab w:val="num" w:pos="1800"/>
        </w:tabs>
        <w:jc w:val="both"/>
        <w:rPr>
          <w:rFonts w:asciiTheme="majorBidi" w:hAnsiTheme="majorBidi" w:cstheme="majorBidi"/>
          <w:bCs/>
          <w:iCs/>
        </w:rPr>
      </w:pPr>
      <w:r w:rsidRPr="00393F66">
        <w:rPr>
          <w:rFonts w:asciiTheme="majorBidi" w:hAnsiTheme="majorBidi" w:cstheme="majorBidi"/>
          <w:bCs/>
          <w:iCs/>
        </w:rPr>
        <w:t>In this section, we share our view on the design of the DCI format for eURLLC scheduling.</w:t>
      </w:r>
    </w:p>
    <w:p w14:paraId="2B261831" w14:textId="114E6509" w:rsidR="00FE0769" w:rsidRPr="007637E3" w:rsidRDefault="00246E5A" w:rsidP="007637E3">
      <w:pPr>
        <w:pStyle w:val="Heading2"/>
        <w:rPr>
          <w:rFonts w:ascii="Times New Roman" w:hAnsi="Times New Roman"/>
        </w:rPr>
      </w:pPr>
      <w:r>
        <w:rPr>
          <w:rFonts w:ascii="Times New Roman" w:hAnsi="Times New Roman"/>
        </w:rPr>
        <w:t xml:space="preserve">eURLLC </w:t>
      </w:r>
      <w:r w:rsidR="007637E3" w:rsidRPr="007637E3">
        <w:rPr>
          <w:rFonts w:ascii="Times New Roman" w:hAnsi="Times New Roman"/>
        </w:rPr>
        <w:t>DL scheduling DCI</w:t>
      </w:r>
    </w:p>
    <w:p w14:paraId="396DD254" w14:textId="09BC9B6B" w:rsidR="00010CFA" w:rsidRPr="00010CFA" w:rsidRDefault="00010CFA" w:rsidP="00D14C02">
      <w:pPr>
        <w:pStyle w:val="ListParagraph"/>
        <w:numPr>
          <w:ilvl w:val="0"/>
          <w:numId w:val="7"/>
        </w:numPr>
        <w:tabs>
          <w:tab w:val="num" w:pos="2160"/>
          <w:tab w:val="num" w:pos="2880"/>
        </w:tabs>
        <w:jc w:val="both"/>
        <w:rPr>
          <w:rFonts w:ascii="Times New Roman" w:hAnsi="Times New Roman"/>
          <w:b/>
          <w:sz w:val="20"/>
        </w:rPr>
      </w:pPr>
      <w:r>
        <w:rPr>
          <w:rFonts w:ascii="Times New Roman" w:hAnsi="Times New Roman"/>
          <w:b/>
          <w:sz w:val="20"/>
        </w:rPr>
        <w:t>DL resource allocation</w:t>
      </w:r>
    </w:p>
    <w:p w14:paraId="147B71F1" w14:textId="4F4F89FF" w:rsidR="002A1959" w:rsidRDefault="008D091C" w:rsidP="00EA6D0A">
      <w:pPr>
        <w:ind w:left="775"/>
        <w:jc w:val="both"/>
        <w:rPr>
          <w:szCs w:val="22"/>
        </w:rPr>
      </w:pPr>
      <w:r>
        <w:rPr>
          <w:szCs w:val="22"/>
        </w:rPr>
        <w:t xml:space="preserve">The support of resource allocation type-1 with configurable starting point and length granularity was agreed before. The remaining issue here is whether the type-0 resource allocation is needed or not. </w:t>
      </w:r>
      <w:r w:rsidR="00010CFA">
        <w:rPr>
          <w:szCs w:val="22"/>
        </w:rPr>
        <w:t xml:space="preserve">For </w:t>
      </w:r>
      <w:r w:rsidR="002A1959" w:rsidRPr="00393F66">
        <w:rPr>
          <w:szCs w:val="22"/>
        </w:rPr>
        <w:t xml:space="preserve">eURLLC scheduling, resource allocation Type 0 may not be needed. This is because, with the same RB bundle size, Type 1 allocation </w:t>
      </w:r>
      <w:r w:rsidR="002A1959" w:rsidRPr="00393F66">
        <w:rPr>
          <w:szCs w:val="22"/>
        </w:rPr>
        <w:lastRenderedPageBreak/>
        <w:t>may consume less signaling overhead compared w</w:t>
      </w:r>
      <w:r w:rsidR="00325295">
        <w:rPr>
          <w:szCs w:val="22"/>
        </w:rPr>
        <w:t>ith</w:t>
      </w:r>
      <w:r w:rsidR="002A1959" w:rsidRPr="00393F66">
        <w:rPr>
          <w:szCs w:val="22"/>
        </w:rPr>
        <w:t xml:space="preserve">  type 0 allocation.</w:t>
      </w:r>
      <w:r w:rsidR="00010CFA">
        <w:rPr>
          <w:szCs w:val="22"/>
        </w:rPr>
        <w:t xml:space="preserve"> Further, with VRB-to-PRB interleaving, even under type-1 resource allocation, the resources can be distributed in the physical domain. </w:t>
      </w:r>
      <w:r w:rsidR="002A1959" w:rsidRPr="00393F66">
        <w:rPr>
          <w:szCs w:val="22"/>
        </w:rPr>
        <w:t xml:space="preserve"> </w:t>
      </w:r>
    </w:p>
    <w:p w14:paraId="0E23FA00" w14:textId="1585D2BA" w:rsidR="00325295" w:rsidRPr="00325295" w:rsidRDefault="00325295" w:rsidP="00EA6D0A">
      <w:pPr>
        <w:ind w:left="775"/>
        <w:jc w:val="both"/>
        <w:rPr>
          <w:b/>
          <w:szCs w:val="22"/>
        </w:rPr>
      </w:pPr>
      <w:r w:rsidRPr="00325295">
        <w:rPr>
          <w:b/>
          <w:szCs w:val="22"/>
        </w:rPr>
        <w:t xml:space="preserve">Proposal </w:t>
      </w:r>
      <w:r w:rsidR="00010CFA">
        <w:rPr>
          <w:b/>
          <w:szCs w:val="22"/>
        </w:rPr>
        <w:t>1</w:t>
      </w:r>
      <w:r w:rsidRPr="00325295">
        <w:rPr>
          <w:b/>
          <w:szCs w:val="22"/>
        </w:rPr>
        <w:t xml:space="preserve">: For </w:t>
      </w:r>
      <w:r w:rsidR="00010CFA">
        <w:rPr>
          <w:b/>
          <w:szCs w:val="22"/>
        </w:rPr>
        <w:t xml:space="preserve">DL </w:t>
      </w:r>
      <w:r w:rsidRPr="00325295">
        <w:rPr>
          <w:b/>
          <w:szCs w:val="22"/>
        </w:rPr>
        <w:t>URLLC scheduling, resource allocation type 0 is not supported.</w:t>
      </w:r>
      <w:r w:rsidR="00010CFA">
        <w:rPr>
          <w:b/>
          <w:szCs w:val="22"/>
        </w:rPr>
        <w:t xml:space="preserve"> With VRB-to-PRB interleaving, and allocation type 1, the URLLC scheduling is sufficiently flexible.</w:t>
      </w:r>
    </w:p>
    <w:p w14:paraId="2D555E36" w14:textId="424A57BE" w:rsidR="005F3C7E" w:rsidRPr="00393F66" w:rsidRDefault="00FE0769" w:rsidP="00D14C02">
      <w:pPr>
        <w:pStyle w:val="ListParagraph"/>
        <w:numPr>
          <w:ilvl w:val="0"/>
          <w:numId w:val="7"/>
        </w:numPr>
        <w:tabs>
          <w:tab w:val="num" w:pos="2160"/>
          <w:tab w:val="num" w:pos="2880"/>
        </w:tabs>
        <w:jc w:val="both"/>
        <w:rPr>
          <w:rFonts w:ascii="Times New Roman" w:hAnsi="Times New Roman"/>
          <w:b/>
          <w:sz w:val="20"/>
        </w:rPr>
      </w:pPr>
      <w:r w:rsidRPr="00393F66">
        <w:rPr>
          <w:rFonts w:ascii="Times New Roman" w:hAnsi="Times New Roman"/>
          <w:b/>
          <w:sz w:val="20"/>
        </w:rPr>
        <w:t>Time</w:t>
      </w:r>
      <w:r w:rsidR="00010CFA">
        <w:rPr>
          <w:rFonts w:ascii="Times New Roman" w:hAnsi="Times New Roman"/>
          <w:b/>
          <w:sz w:val="20"/>
        </w:rPr>
        <w:t>-</w:t>
      </w:r>
      <w:r w:rsidRPr="00393F66">
        <w:rPr>
          <w:rFonts w:ascii="Times New Roman" w:hAnsi="Times New Roman"/>
          <w:b/>
          <w:sz w:val="20"/>
        </w:rPr>
        <w:t>domain resource allocation</w:t>
      </w:r>
    </w:p>
    <w:p w14:paraId="064E7C8D" w14:textId="7235D99D" w:rsidR="00F82E29" w:rsidRDefault="00B066CF" w:rsidP="005F3C7E">
      <w:pPr>
        <w:tabs>
          <w:tab w:val="num" w:pos="2880"/>
        </w:tabs>
        <w:ind w:left="775"/>
        <w:jc w:val="both"/>
        <w:rPr>
          <w:szCs w:val="22"/>
        </w:rPr>
      </w:pPr>
      <w:r w:rsidRPr="00393F66">
        <w:rPr>
          <w:szCs w:val="22"/>
        </w:rPr>
        <w:t>F</w:t>
      </w:r>
      <w:r w:rsidR="00A25B68" w:rsidRPr="00393F66">
        <w:rPr>
          <w:szCs w:val="22"/>
        </w:rPr>
        <w:t xml:space="preserve">or URLLC scheduling DCI, the time-domain PDSCH/PUSCH resource allocation field may be interpreted differently from that of the </w:t>
      </w:r>
      <w:r w:rsidR="00A26C75" w:rsidRPr="00393F66">
        <w:rPr>
          <w:szCs w:val="22"/>
        </w:rPr>
        <w:t xml:space="preserve">Rel-15 </w:t>
      </w:r>
      <w:r w:rsidR="00A25B68" w:rsidRPr="00393F66">
        <w:rPr>
          <w:szCs w:val="22"/>
        </w:rPr>
        <w:t xml:space="preserve">fallback DCI. </w:t>
      </w:r>
      <w:r w:rsidR="005F3C7E" w:rsidRPr="00393F66">
        <w:rPr>
          <w:szCs w:val="22"/>
        </w:rPr>
        <w:t xml:space="preserve">Given the difference in the traffic type between URLLC and eMBB, it may be beneficial to configure a separate time-domain resource allocation table for eURLLC. </w:t>
      </w:r>
      <w:r w:rsidR="00463D11">
        <w:rPr>
          <w:szCs w:val="22"/>
        </w:rPr>
        <w:t>In fact, considering the type-1 codebook design, and the possibility for a UE to support both URLLC and eMBB, this becomes essential.</w:t>
      </w:r>
    </w:p>
    <w:p w14:paraId="16EA4A55" w14:textId="74C1F443" w:rsidR="00463D11" w:rsidRPr="00463D11" w:rsidRDefault="00463D11" w:rsidP="005F3C7E">
      <w:pPr>
        <w:tabs>
          <w:tab w:val="num" w:pos="2880"/>
        </w:tabs>
        <w:ind w:left="775"/>
        <w:jc w:val="both"/>
        <w:rPr>
          <w:b/>
          <w:szCs w:val="22"/>
        </w:rPr>
      </w:pPr>
      <w:r w:rsidRPr="00463D11">
        <w:rPr>
          <w:b/>
          <w:szCs w:val="22"/>
        </w:rPr>
        <w:t xml:space="preserve">Proposal </w:t>
      </w:r>
      <w:r w:rsidR="00010CFA">
        <w:rPr>
          <w:b/>
          <w:szCs w:val="22"/>
        </w:rPr>
        <w:t>2</w:t>
      </w:r>
      <w:r w:rsidRPr="00463D11">
        <w:rPr>
          <w:b/>
          <w:szCs w:val="22"/>
        </w:rPr>
        <w:t>: Configure a separate TDRA table for eMBB vs. URLLC scheduling for a UE that supports multiple services.</w:t>
      </w:r>
    </w:p>
    <w:p w14:paraId="75C5E9B4" w14:textId="77777777" w:rsidR="00794F41" w:rsidRPr="00794F41" w:rsidRDefault="00794F41" w:rsidP="00794F41">
      <w:pPr>
        <w:pStyle w:val="ListParagraph"/>
        <w:ind w:left="775"/>
        <w:jc w:val="both"/>
        <w:rPr>
          <w:rFonts w:ascii="Times New Roman" w:hAnsi="Times New Roman"/>
          <w:sz w:val="20"/>
        </w:rPr>
      </w:pPr>
    </w:p>
    <w:p w14:paraId="1AE554C5" w14:textId="77777777" w:rsidR="0041676F" w:rsidRPr="00E95CE2" w:rsidRDefault="0041676F" w:rsidP="0041676F">
      <w:pPr>
        <w:tabs>
          <w:tab w:val="num" w:pos="2880"/>
        </w:tabs>
        <w:jc w:val="both"/>
        <w:rPr>
          <w:szCs w:val="22"/>
        </w:rPr>
      </w:pPr>
      <w:r w:rsidRPr="00E95CE2">
        <w:rPr>
          <w:szCs w:val="22"/>
        </w:rPr>
        <w:t>The following fields could be reused in the Rel-16 eURLLC DL DCI without change from the Rel-15 DL fallback DCI:</w:t>
      </w:r>
    </w:p>
    <w:p w14:paraId="58750F14" w14:textId="6A957FDD" w:rsidR="0041676F" w:rsidRPr="00C7062A" w:rsidRDefault="0041676F" w:rsidP="00D14C02">
      <w:pPr>
        <w:pStyle w:val="ListParagraph"/>
        <w:numPr>
          <w:ilvl w:val="0"/>
          <w:numId w:val="7"/>
        </w:numPr>
        <w:tabs>
          <w:tab w:val="num" w:pos="2880"/>
        </w:tabs>
        <w:jc w:val="both"/>
        <w:rPr>
          <w:rFonts w:ascii="Times New Roman" w:hAnsi="Times New Roman"/>
          <w:b/>
          <w:sz w:val="20"/>
        </w:rPr>
      </w:pPr>
      <w:r w:rsidRPr="00C7062A">
        <w:rPr>
          <w:rFonts w:ascii="Times New Roman" w:hAnsi="Times New Roman"/>
          <w:b/>
          <w:sz w:val="20"/>
        </w:rPr>
        <w:t>Modulation and coding scheme (MCS)</w:t>
      </w:r>
    </w:p>
    <w:p w14:paraId="44BCD287" w14:textId="10DCA405" w:rsidR="0041676F" w:rsidRDefault="0041676F" w:rsidP="00FE0769">
      <w:pPr>
        <w:tabs>
          <w:tab w:val="num" w:pos="2880"/>
        </w:tabs>
        <w:jc w:val="both"/>
        <w:rPr>
          <w:sz w:val="22"/>
          <w:szCs w:val="22"/>
        </w:rPr>
      </w:pPr>
    </w:p>
    <w:p w14:paraId="7B8D00B2" w14:textId="7BBA4FBE" w:rsidR="003416A1" w:rsidRPr="003416A1" w:rsidRDefault="003416A1" w:rsidP="00FE0769">
      <w:pPr>
        <w:tabs>
          <w:tab w:val="num" w:pos="2880"/>
        </w:tabs>
        <w:jc w:val="both"/>
        <w:rPr>
          <w:b/>
          <w:szCs w:val="22"/>
        </w:rPr>
      </w:pPr>
      <w:r w:rsidRPr="003416A1">
        <w:rPr>
          <w:b/>
          <w:szCs w:val="22"/>
        </w:rPr>
        <w:t xml:space="preserve">Proposal </w:t>
      </w:r>
      <w:r w:rsidR="00597F36">
        <w:rPr>
          <w:b/>
          <w:szCs w:val="22"/>
        </w:rPr>
        <w:t>3</w:t>
      </w:r>
      <w:r w:rsidRPr="003416A1">
        <w:rPr>
          <w:b/>
          <w:szCs w:val="22"/>
        </w:rPr>
        <w:t xml:space="preserve">: The bitwidth of the MCS </w:t>
      </w:r>
      <w:r w:rsidR="00597F36">
        <w:rPr>
          <w:b/>
          <w:szCs w:val="22"/>
        </w:rPr>
        <w:t>is kept the same as in Rel. 15 in both the new UL and DL DCI scheduling URLLC.</w:t>
      </w:r>
    </w:p>
    <w:p w14:paraId="6CB8DF04" w14:textId="21EFF449" w:rsidR="00A25B68" w:rsidRPr="00E95CE2" w:rsidRDefault="00A03A91" w:rsidP="00FE0769">
      <w:pPr>
        <w:tabs>
          <w:tab w:val="num" w:pos="2880"/>
        </w:tabs>
        <w:jc w:val="both"/>
        <w:rPr>
          <w:szCs w:val="22"/>
        </w:rPr>
      </w:pPr>
      <w:r w:rsidRPr="00E95CE2">
        <w:rPr>
          <w:szCs w:val="22"/>
        </w:rPr>
        <w:t>Besides the fields that are present in the Rel-15 fallback DCI,</w:t>
      </w:r>
      <w:r w:rsidR="00A25B68" w:rsidRPr="00E95CE2">
        <w:rPr>
          <w:szCs w:val="22"/>
        </w:rPr>
        <w:t xml:space="preserve"> the following fields may be added to the</w:t>
      </w:r>
      <w:r w:rsidR="00D31B7B" w:rsidRPr="00E95CE2">
        <w:rPr>
          <w:szCs w:val="22"/>
        </w:rPr>
        <w:t xml:space="preserve"> e</w:t>
      </w:r>
      <w:r w:rsidR="00A25B68" w:rsidRPr="00E95CE2">
        <w:rPr>
          <w:szCs w:val="22"/>
        </w:rPr>
        <w:t xml:space="preserve">URLLC </w:t>
      </w:r>
      <w:r w:rsidR="00D31B7B" w:rsidRPr="00E95CE2">
        <w:rPr>
          <w:szCs w:val="22"/>
        </w:rPr>
        <w:t xml:space="preserve">DL </w:t>
      </w:r>
      <w:r w:rsidR="00A25B68" w:rsidRPr="00E95CE2">
        <w:rPr>
          <w:szCs w:val="22"/>
        </w:rPr>
        <w:t xml:space="preserve">scheduling DCI </w:t>
      </w:r>
      <w:r w:rsidRPr="00E95CE2">
        <w:rPr>
          <w:szCs w:val="22"/>
        </w:rPr>
        <w:t xml:space="preserve">to ensure scheduling flexibility or to enable enhanced functionalities. </w:t>
      </w:r>
    </w:p>
    <w:p w14:paraId="22B853B6" w14:textId="77777777" w:rsidR="00BD21A4" w:rsidRPr="00BD21A4" w:rsidRDefault="00BD21A4" w:rsidP="00BD21A4">
      <w:pPr>
        <w:pStyle w:val="ListParagraph"/>
        <w:jc w:val="both"/>
        <w:rPr>
          <w:rFonts w:ascii="Times New Roman" w:eastAsia="SimSun" w:hAnsi="Times New Roman"/>
          <w:sz w:val="20"/>
        </w:rPr>
      </w:pPr>
    </w:p>
    <w:p w14:paraId="62054C93" w14:textId="77777777" w:rsidR="00FE0769" w:rsidRPr="00E95CE2" w:rsidRDefault="00FE0769" w:rsidP="00FE0769">
      <w:pPr>
        <w:pStyle w:val="ListParagraph"/>
        <w:numPr>
          <w:ilvl w:val="0"/>
          <w:numId w:val="4"/>
        </w:numPr>
        <w:tabs>
          <w:tab w:val="num" w:pos="2880"/>
        </w:tabs>
        <w:jc w:val="both"/>
        <w:rPr>
          <w:rFonts w:ascii="Times New Roman" w:eastAsia="SimSun" w:hAnsi="Times New Roman"/>
          <w:b/>
          <w:sz w:val="20"/>
        </w:rPr>
      </w:pPr>
      <w:r w:rsidRPr="00E95CE2">
        <w:rPr>
          <w:rFonts w:ascii="Times New Roman" w:eastAsia="SimSun" w:hAnsi="Times New Roman"/>
          <w:b/>
          <w:sz w:val="20"/>
        </w:rPr>
        <w:t>Physical-layer priority indicator</w:t>
      </w:r>
    </w:p>
    <w:p w14:paraId="2B00BF55" w14:textId="10CE0625" w:rsidR="001553A3" w:rsidRDefault="00FE0769" w:rsidP="00FE0769">
      <w:pPr>
        <w:pStyle w:val="ListParagraph"/>
        <w:tabs>
          <w:tab w:val="num" w:pos="2880"/>
        </w:tabs>
        <w:jc w:val="both"/>
        <w:rPr>
          <w:rFonts w:ascii="Times New Roman" w:eastAsia="SimSun" w:hAnsi="Times New Roman"/>
          <w:sz w:val="20"/>
        </w:rPr>
      </w:pPr>
      <w:r w:rsidRPr="00E95CE2">
        <w:rPr>
          <w:rFonts w:ascii="Times New Roman" w:eastAsia="SimSun" w:hAnsi="Times New Roman"/>
          <w:sz w:val="20"/>
        </w:rPr>
        <w:t xml:space="preserve">For UEs that support services with different requirements, physical layer differentiation </w:t>
      </w:r>
      <w:r w:rsidR="006413C0">
        <w:rPr>
          <w:rFonts w:ascii="Times New Roman" w:eastAsia="SimSun" w:hAnsi="Times New Roman"/>
          <w:sz w:val="20"/>
        </w:rPr>
        <w:t>is</w:t>
      </w:r>
      <w:r w:rsidRPr="00E95CE2">
        <w:rPr>
          <w:rFonts w:ascii="Times New Roman" w:eastAsia="SimSun" w:hAnsi="Times New Roman"/>
          <w:sz w:val="20"/>
        </w:rPr>
        <w:t xml:space="preserve"> needed to let the UE be aware of the priority level of each of the physical layer channels</w:t>
      </w:r>
      <w:r w:rsidR="001553A3">
        <w:rPr>
          <w:rFonts w:ascii="Times New Roman" w:eastAsia="SimSun" w:hAnsi="Times New Roman"/>
          <w:sz w:val="20"/>
        </w:rPr>
        <w:t>.</w:t>
      </w:r>
      <w:r w:rsidR="00597F36">
        <w:rPr>
          <w:rFonts w:ascii="Times New Roman" w:eastAsia="SimSun" w:hAnsi="Times New Roman"/>
          <w:sz w:val="20"/>
        </w:rPr>
        <w:t xml:space="preserve"> </w:t>
      </w:r>
      <w:r w:rsidR="00960EEB">
        <w:rPr>
          <w:rFonts w:ascii="Times New Roman" w:eastAsia="SimSun" w:hAnsi="Times New Roman"/>
          <w:sz w:val="20"/>
        </w:rPr>
        <w:t xml:space="preserve">As agreed before, the priority of the PUCCH carrying HARQ-ACK is indicated by the HARQ-ACK codebook indication. A bit in the DCI can be used for this purpose.  </w:t>
      </w:r>
    </w:p>
    <w:p w14:paraId="0E3A5D15" w14:textId="77777777" w:rsidR="001553A3" w:rsidRDefault="001553A3" w:rsidP="00FE0769">
      <w:pPr>
        <w:pStyle w:val="ListParagraph"/>
        <w:tabs>
          <w:tab w:val="num" w:pos="2880"/>
        </w:tabs>
        <w:jc w:val="both"/>
        <w:rPr>
          <w:rFonts w:ascii="Times New Roman" w:eastAsia="SimSun" w:hAnsi="Times New Roman"/>
          <w:sz w:val="20"/>
        </w:rPr>
      </w:pPr>
    </w:p>
    <w:p w14:paraId="00577CF2" w14:textId="25BC21CE" w:rsidR="00FE0769" w:rsidRPr="001553A3" w:rsidRDefault="001553A3" w:rsidP="00FE0769">
      <w:pPr>
        <w:pStyle w:val="ListParagraph"/>
        <w:tabs>
          <w:tab w:val="num" w:pos="2880"/>
        </w:tabs>
        <w:jc w:val="both"/>
        <w:rPr>
          <w:rFonts w:ascii="Times New Roman" w:eastAsia="SimSun" w:hAnsi="Times New Roman"/>
          <w:b/>
          <w:sz w:val="20"/>
        </w:rPr>
      </w:pPr>
      <w:r w:rsidRPr="001553A3">
        <w:rPr>
          <w:rFonts w:ascii="Times New Roman" w:eastAsia="SimSun" w:hAnsi="Times New Roman"/>
          <w:b/>
          <w:sz w:val="20"/>
        </w:rPr>
        <w:t xml:space="preserve">Proposal </w:t>
      </w:r>
      <w:r w:rsidR="00597F36">
        <w:rPr>
          <w:rFonts w:ascii="Times New Roman" w:eastAsia="SimSun" w:hAnsi="Times New Roman"/>
          <w:b/>
          <w:sz w:val="20"/>
        </w:rPr>
        <w:t>4</w:t>
      </w:r>
      <w:r w:rsidRPr="001553A3">
        <w:rPr>
          <w:rFonts w:ascii="Times New Roman" w:eastAsia="SimSun" w:hAnsi="Times New Roman"/>
          <w:b/>
          <w:sz w:val="20"/>
        </w:rPr>
        <w:t xml:space="preserve">: </w:t>
      </w:r>
      <w:r w:rsidR="00960EEB">
        <w:rPr>
          <w:rFonts w:ascii="Times New Roman" w:eastAsia="SimSun" w:hAnsi="Times New Roman"/>
          <w:b/>
          <w:sz w:val="20"/>
        </w:rPr>
        <w:t>For indicating the priority of PUCCH carrying HARQ-ACK, as well as the HARQ-ACK codebook indication, a bit field can be added to the DL DCI</w:t>
      </w:r>
      <w:r w:rsidRPr="001553A3">
        <w:rPr>
          <w:rFonts w:ascii="Times New Roman" w:eastAsia="SimSun" w:hAnsi="Times New Roman"/>
          <w:b/>
          <w:sz w:val="20"/>
        </w:rPr>
        <w:t>.</w:t>
      </w:r>
      <w:r w:rsidR="006413C0" w:rsidRPr="001553A3">
        <w:rPr>
          <w:rFonts w:ascii="Times New Roman" w:eastAsia="SimSun" w:hAnsi="Times New Roman"/>
          <w:b/>
          <w:sz w:val="20"/>
        </w:rPr>
        <w:t xml:space="preserve"> </w:t>
      </w:r>
    </w:p>
    <w:p w14:paraId="61FF52A2" w14:textId="1B1205F8" w:rsidR="006C3A80" w:rsidRDefault="006C3A80" w:rsidP="002669E8">
      <w:pPr>
        <w:tabs>
          <w:tab w:val="num" w:pos="2160"/>
          <w:tab w:val="num" w:pos="2880"/>
        </w:tabs>
        <w:jc w:val="both"/>
        <w:rPr>
          <w:sz w:val="24"/>
          <w:lang w:eastAsia="ko-KR"/>
        </w:rPr>
      </w:pPr>
    </w:p>
    <w:p w14:paraId="6437A074" w14:textId="70FE0859" w:rsidR="00956CD6" w:rsidRPr="007637E3" w:rsidRDefault="00956CD6" w:rsidP="00956CD6">
      <w:pPr>
        <w:pStyle w:val="Heading2"/>
        <w:rPr>
          <w:rFonts w:ascii="Times New Roman" w:hAnsi="Times New Roman"/>
        </w:rPr>
      </w:pPr>
      <w:r>
        <w:rPr>
          <w:rFonts w:ascii="Times New Roman" w:hAnsi="Times New Roman"/>
        </w:rPr>
        <w:t>eURLLC U</w:t>
      </w:r>
      <w:r w:rsidRPr="007637E3">
        <w:rPr>
          <w:rFonts w:ascii="Times New Roman" w:hAnsi="Times New Roman"/>
        </w:rPr>
        <w:t>L scheduling DCI</w:t>
      </w:r>
    </w:p>
    <w:p w14:paraId="72FFFDAD" w14:textId="609C82DB" w:rsidR="002B12F1" w:rsidRPr="00960EEB" w:rsidRDefault="00960EEB" w:rsidP="00956CD6">
      <w:pPr>
        <w:tabs>
          <w:tab w:val="num" w:pos="2880"/>
        </w:tabs>
        <w:jc w:val="both"/>
        <w:rPr>
          <w:szCs w:val="22"/>
        </w:rPr>
      </w:pPr>
      <w:r>
        <w:rPr>
          <w:szCs w:val="22"/>
        </w:rPr>
        <w:t>Same as for the new DL DCI format, the bitwidth of the MCS in the new UL DCI format should remain unchanged as compared to Rel. 15.</w:t>
      </w:r>
      <w:r w:rsidR="00133E7E" w:rsidRPr="00D62FB0">
        <w:rPr>
          <w:szCs w:val="22"/>
        </w:rPr>
        <w:t xml:space="preserve"> </w:t>
      </w:r>
    </w:p>
    <w:p w14:paraId="53F3D97F" w14:textId="2C724A50" w:rsidR="00F827D0" w:rsidRPr="00F827D0" w:rsidRDefault="00F827D0" w:rsidP="00956CD6">
      <w:pPr>
        <w:tabs>
          <w:tab w:val="num" w:pos="2880"/>
        </w:tabs>
        <w:jc w:val="both"/>
        <w:rPr>
          <w:b/>
          <w:szCs w:val="22"/>
        </w:rPr>
      </w:pPr>
      <w:r w:rsidRPr="00F827D0">
        <w:rPr>
          <w:b/>
          <w:szCs w:val="22"/>
        </w:rPr>
        <w:t xml:space="preserve">Proposal </w:t>
      </w:r>
      <w:r w:rsidR="00960EEB">
        <w:rPr>
          <w:b/>
          <w:szCs w:val="22"/>
        </w:rPr>
        <w:t>5</w:t>
      </w:r>
      <w:r w:rsidRPr="00F827D0">
        <w:rPr>
          <w:b/>
          <w:szCs w:val="22"/>
        </w:rPr>
        <w:t xml:space="preserve">: </w:t>
      </w:r>
      <w:r w:rsidR="009A6B5C">
        <w:rPr>
          <w:b/>
          <w:szCs w:val="22"/>
        </w:rPr>
        <w:t>The bitwidth of the MCS field is set to 5 bits in the new UL DCI format.</w:t>
      </w:r>
    </w:p>
    <w:p w14:paraId="45137575" w14:textId="0ACB53C9" w:rsidR="00956CD6" w:rsidRPr="00D62FB0" w:rsidRDefault="00956CD6" w:rsidP="00956CD6">
      <w:pPr>
        <w:tabs>
          <w:tab w:val="num" w:pos="2880"/>
        </w:tabs>
        <w:jc w:val="both"/>
        <w:rPr>
          <w:szCs w:val="22"/>
        </w:rPr>
      </w:pPr>
      <w:r w:rsidRPr="00D62FB0">
        <w:rPr>
          <w:szCs w:val="22"/>
        </w:rPr>
        <w:t xml:space="preserve">The following field in the Rel-15 </w:t>
      </w:r>
      <w:r w:rsidR="00600DEC" w:rsidRPr="00D62FB0">
        <w:rPr>
          <w:szCs w:val="22"/>
        </w:rPr>
        <w:t>U</w:t>
      </w:r>
      <w:r w:rsidRPr="00D62FB0">
        <w:rPr>
          <w:szCs w:val="22"/>
        </w:rPr>
        <w:t xml:space="preserve">L fallback DCI may be </w:t>
      </w:r>
      <w:r w:rsidR="003F57EA" w:rsidRPr="00D62FB0">
        <w:rPr>
          <w:szCs w:val="22"/>
        </w:rPr>
        <w:t xml:space="preserve">redesigned </w:t>
      </w:r>
      <w:r w:rsidRPr="00D62FB0">
        <w:rPr>
          <w:szCs w:val="22"/>
        </w:rPr>
        <w:t xml:space="preserve">for </w:t>
      </w:r>
      <w:r w:rsidR="00600DEC" w:rsidRPr="00D62FB0">
        <w:rPr>
          <w:szCs w:val="22"/>
        </w:rPr>
        <w:t>U</w:t>
      </w:r>
      <w:r w:rsidRPr="00D62FB0">
        <w:rPr>
          <w:szCs w:val="22"/>
        </w:rPr>
        <w:t>L eURLLC scheduling</w:t>
      </w:r>
      <w:r w:rsidR="001A35B2" w:rsidRPr="00D62FB0">
        <w:rPr>
          <w:szCs w:val="22"/>
        </w:rPr>
        <w:t>:</w:t>
      </w:r>
    </w:p>
    <w:p w14:paraId="21A26D14" w14:textId="54DDA68E" w:rsidR="00956CD6" w:rsidRPr="00D62FB0" w:rsidRDefault="00956CD6" w:rsidP="00D14C02">
      <w:pPr>
        <w:pStyle w:val="ListParagraph"/>
        <w:numPr>
          <w:ilvl w:val="0"/>
          <w:numId w:val="7"/>
        </w:numPr>
        <w:tabs>
          <w:tab w:val="num" w:pos="2160"/>
          <w:tab w:val="num" w:pos="2880"/>
        </w:tabs>
        <w:jc w:val="both"/>
        <w:rPr>
          <w:rFonts w:ascii="Times New Roman" w:hAnsi="Times New Roman"/>
          <w:b/>
          <w:sz w:val="20"/>
        </w:rPr>
      </w:pPr>
      <w:r w:rsidRPr="00D62FB0">
        <w:rPr>
          <w:rFonts w:ascii="Times New Roman" w:hAnsi="Times New Roman"/>
          <w:b/>
          <w:sz w:val="20"/>
        </w:rPr>
        <w:t>Time</w:t>
      </w:r>
      <w:r w:rsidR="001553A3">
        <w:rPr>
          <w:rFonts w:ascii="Times New Roman" w:hAnsi="Times New Roman"/>
          <w:b/>
          <w:sz w:val="20"/>
        </w:rPr>
        <w:t>-</w:t>
      </w:r>
      <w:r w:rsidRPr="00D62FB0">
        <w:rPr>
          <w:rFonts w:ascii="Times New Roman" w:hAnsi="Times New Roman"/>
          <w:b/>
          <w:sz w:val="20"/>
        </w:rPr>
        <w:t>domain resource allocation</w:t>
      </w:r>
      <w:r w:rsidR="00E621B2">
        <w:rPr>
          <w:rFonts w:ascii="Times New Roman" w:hAnsi="Times New Roman"/>
          <w:b/>
          <w:sz w:val="20"/>
        </w:rPr>
        <w:t xml:space="preserve"> and frequency hopping indicator</w:t>
      </w:r>
    </w:p>
    <w:p w14:paraId="6800F46E" w14:textId="4207A17A" w:rsidR="00133E7E" w:rsidRPr="00D62FB0" w:rsidRDefault="005220D0" w:rsidP="000D2007">
      <w:pPr>
        <w:tabs>
          <w:tab w:val="num" w:pos="2880"/>
        </w:tabs>
        <w:ind w:left="775"/>
        <w:jc w:val="both"/>
        <w:rPr>
          <w:szCs w:val="22"/>
        </w:rPr>
      </w:pPr>
      <w:r w:rsidRPr="00D62FB0">
        <w:rPr>
          <w:szCs w:val="22"/>
        </w:rPr>
        <w:t>It</w:t>
      </w:r>
      <w:r w:rsidR="00D62FB0">
        <w:rPr>
          <w:szCs w:val="22"/>
        </w:rPr>
        <w:t xml:space="preserve"> i</w:t>
      </w:r>
      <w:r w:rsidRPr="00D62FB0">
        <w:rPr>
          <w:szCs w:val="22"/>
        </w:rPr>
        <w:t>s reasonable to leave this f</w:t>
      </w:r>
      <w:r w:rsidR="00F827D0">
        <w:rPr>
          <w:szCs w:val="22"/>
        </w:rPr>
        <w:t>ield</w:t>
      </w:r>
      <w:r w:rsidRPr="00D62FB0">
        <w:rPr>
          <w:szCs w:val="22"/>
        </w:rPr>
        <w:t xml:space="preserve"> configurable by the gNB. However, t</w:t>
      </w:r>
      <w:r w:rsidR="00600DEC" w:rsidRPr="00D62FB0">
        <w:rPr>
          <w:szCs w:val="22"/>
        </w:rPr>
        <w:t xml:space="preserve">he detailed design of the TDRA field in the eURLLC DCI may depend on the </w:t>
      </w:r>
      <w:r w:rsidRPr="00D62FB0">
        <w:rPr>
          <w:szCs w:val="22"/>
        </w:rPr>
        <w:t>outcome</w:t>
      </w:r>
      <w:r w:rsidR="00600DEC" w:rsidRPr="00D62FB0">
        <w:rPr>
          <w:szCs w:val="22"/>
        </w:rPr>
        <w:t xml:space="preserve"> of the PUSCH enhancement </w:t>
      </w:r>
      <w:r w:rsidRPr="00D62FB0">
        <w:rPr>
          <w:szCs w:val="22"/>
        </w:rPr>
        <w:t>that is currently under discussion in RAN1.</w:t>
      </w:r>
      <w:r w:rsidR="00E621B2">
        <w:rPr>
          <w:szCs w:val="22"/>
        </w:rPr>
        <w:t xml:space="preserve"> Similalry, the bitwidth for frequency hopping indicator can be specified after the PUSCH enhancements for UL URLLC are progressed more.</w:t>
      </w:r>
    </w:p>
    <w:p w14:paraId="494622DD" w14:textId="4CE20542" w:rsidR="006C3A80" w:rsidRDefault="00F827D0" w:rsidP="001553A3">
      <w:pPr>
        <w:tabs>
          <w:tab w:val="num" w:pos="2880"/>
        </w:tabs>
        <w:ind w:left="775"/>
        <w:jc w:val="both"/>
        <w:rPr>
          <w:b/>
          <w:szCs w:val="22"/>
        </w:rPr>
      </w:pPr>
      <w:r w:rsidRPr="00E621B2">
        <w:rPr>
          <w:b/>
          <w:szCs w:val="22"/>
        </w:rPr>
        <w:t xml:space="preserve">Proposal </w:t>
      </w:r>
      <w:r w:rsidR="005C3238">
        <w:rPr>
          <w:b/>
          <w:szCs w:val="22"/>
        </w:rPr>
        <w:t>6</w:t>
      </w:r>
      <w:r w:rsidRPr="00E621B2">
        <w:rPr>
          <w:b/>
          <w:szCs w:val="22"/>
        </w:rPr>
        <w:t xml:space="preserve">: </w:t>
      </w:r>
      <w:r w:rsidR="00E621B2" w:rsidRPr="00E621B2">
        <w:rPr>
          <w:b/>
          <w:szCs w:val="22"/>
        </w:rPr>
        <w:t xml:space="preserve">RAN1 should discuss the bitwidth of TDRA and frequency hopping indicator for a DCI scheduling UL URLLC after PUSCH enhancement discussions are progressed more. </w:t>
      </w:r>
    </w:p>
    <w:p w14:paraId="375136D9" w14:textId="77777777" w:rsidR="005F3C7E" w:rsidRPr="00EA7EA0" w:rsidRDefault="005F3C7E" w:rsidP="005F3C7E">
      <w:pPr>
        <w:pStyle w:val="ListParagraph"/>
        <w:numPr>
          <w:ilvl w:val="0"/>
          <w:numId w:val="4"/>
        </w:numPr>
        <w:tabs>
          <w:tab w:val="num" w:pos="2880"/>
        </w:tabs>
        <w:jc w:val="both"/>
        <w:rPr>
          <w:rFonts w:ascii="Times New Roman" w:eastAsia="SimSun" w:hAnsi="Times New Roman"/>
          <w:b/>
          <w:sz w:val="20"/>
        </w:rPr>
      </w:pPr>
      <w:r w:rsidRPr="00EA7EA0">
        <w:rPr>
          <w:rFonts w:ascii="Times New Roman" w:eastAsia="SimSun" w:hAnsi="Times New Roman"/>
          <w:b/>
          <w:sz w:val="20"/>
        </w:rPr>
        <w:t>Waveform indicator</w:t>
      </w:r>
    </w:p>
    <w:p w14:paraId="501EB197" w14:textId="77777777" w:rsidR="00EA7EA0" w:rsidRDefault="005F3C7E" w:rsidP="0054788B">
      <w:pPr>
        <w:pStyle w:val="ListParagraph"/>
        <w:tabs>
          <w:tab w:val="num" w:pos="2880"/>
        </w:tabs>
        <w:jc w:val="both"/>
        <w:rPr>
          <w:rFonts w:ascii="Times New Roman" w:eastAsia="SimSun" w:hAnsi="Times New Roman"/>
          <w:sz w:val="20"/>
        </w:rPr>
      </w:pPr>
      <w:r w:rsidRPr="00EA7EA0">
        <w:rPr>
          <w:rFonts w:ascii="Times New Roman" w:eastAsia="SimSun" w:hAnsi="Times New Roman"/>
          <w:sz w:val="20"/>
        </w:rPr>
        <w:t xml:space="preserve">For uplink URLLC transmission, it is beneficial to allow the UE to dynamically switch the waveform between CP-OFDM  </w:t>
      </w:r>
      <w:r w:rsidR="00FE60DD" w:rsidRPr="00EA7EA0">
        <w:rPr>
          <w:rFonts w:ascii="Times New Roman" w:eastAsia="SimSun" w:hAnsi="Times New Roman"/>
          <w:sz w:val="20"/>
        </w:rPr>
        <w:t>and DFT-s-OFDM</w:t>
      </w:r>
      <w:r w:rsidRPr="00EA7EA0">
        <w:rPr>
          <w:rFonts w:ascii="Times New Roman" w:eastAsia="SimSun" w:hAnsi="Times New Roman"/>
          <w:sz w:val="20"/>
        </w:rPr>
        <w:t>. Semi-static waveform configuration might be too slow for URLLC.</w:t>
      </w:r>
    </w:p>
    <w:p w14:paraId="5A882DDC" w14:textId="77777777" w:rsidR="00EA7EA0" w:rsidRDefault="00EA7EA0" w:rsidP="0054788B">
      <w:pPr>
        <w:pStyle w:val="ListParagraph"/>
        <w:tabs>
          <w:tab w:val="num" w:pos="2880"/>
        </w:tabs>
        <w:jc w:val="both"/>
        <w:rPr>
          <w:rFonts w:ascii="Times New Roman" w:eastAsia="SimSun" w:hAnsi="Times New Roman"/>
          <w:sz w:val="20"/>
        </w:rPr>
      </w:pPr>
    </w:p>
    <w:p w14:paraId="312B38EF" w14:textId="7955B2D2" w:rsidR="001A35B2" w:rsidRPr="005C3238" w:rsidRDefault="00EA7EA0" w:rsidP="005C3238">
      <w:pPr>
        <w:pStyle w:val="ListParagraph"/>
        <w:tabs>
          <w:tab w:val="num" w:pos="2880"/>
        </w:tabs>
        <w:jc w:val="both"/>
        <w:rPr>
          <w:rFonts w:ascii="Times New Roman" w:eastAsia="SimSun" w:hAnsi="Times New Roman"/>
          <w:b/>
          <w:sz w:val="20"/>
        </w:rPr>
      </w:pPr>
      <w:r w:rsidRPr="00EA7EA0">
        <w:rPr>
          <w:rFonts w:ascii="Times New Roman" w:eastAsia="SimSun" w:hAnsi="Times New Roman"/>
          <w:b/>
          <w:sz w:val="20"/>
        </w:rPr>
        <w:lastRenderedPageBreak/>
        <w:t xml:space="preserve">Proposal </w:t>
      </w:r>
      <w:r w:rsidR="005C3238">
        <w:rPr>
          <w:rFonts w:ascii="Times New Roman" w:eastAsia="SimSun" w:hAnsi="Times New Roman"/>
          <w:b/>
          <w:sz w:val="20"/>
        </w:rPr>
        <w:t>7</w:t>
      </w:r>
      <w:r w:rsidRPr="00EA7EA0">
        <w:rPr>
          <w:rFonts w:ascii="Times New Roman" w:eastAsia="SimSun" w:hAnsi="Times New Roman"/>
          <w:b/>
          <w:sz w:val="20"/>
        </w:rPr>
        <w:t>: For UL URLLC scheduling, introduce a 1-bit waveform indicator field to dynamically switch between the CP-OFDM and DFT-s-OFDM waveforms.</w:t>
      </w:r>
      <w:r w:rsidR="005F3C7E" w:rsidRPr="00EA7EA0">
        <w:rPr>
          <w:rFonts w:ascii="Times New Roman" w:eastAsia="SimSun" w:hAnsi="Times New Roman"/>
          <w:b/>
          <w:sz w:val="20"/>
        </w:rPr>
        <w:t xml:space="preserve"> </w:t>
      </w:r>
    </w:p>
    <w:p w14:paraId="35F305CD" w14:textId="6F605629" w:rsidR="00FD441E" w:rsidRPr="00272DEF" w:rsidRDefault="00FD441E" w:rsidP="00272DEF">
      <w:pPr>
        <w:pStyle w:val="Heading1"/>
        <w:jc w:val="both"/>
        <w:rPr>
          <w:rFonts w:ascii="Times New Roman" w:hAnsi="Times New Roman"/>
        </w:rPr>
      </w:pPr>
      <w:r>
        <w:rPr>
          <w:rFonts w:ascii="Times New Roman" w:hAnsi="Times New Roman"/>
        </w:rPr>
        <w:t>Enhancing the PDCCH Monitoring Capability</w:t>
      </w:r>
    </w:p>
    <w:p w14:paraId="24523E96" w14:textId="7244FBAB" w:rsidR="00295530" w:rsidRPr="00EA1CF3" w:rsidRDefault="00BF39E3" w:rsidP="00272DEF">
      <w:pPr>
        <w:jc w:val="both"/>
        <w:rPr>
          <w:rFonts w:asciiTheme="majorBidi" w:hAnsiTheme="majorBidi" w:cstheme="majorBidi"/>
          <w:szCs w:val="22"/>
        </w:rPr>
      </w:pPr>
      <w:r>
        <w:rPr>
          <w:rFonts w:asciiTheme="majorBidi" w:hAnsiTheme="majorBidi" w:cstheme="majorBidi"/>
          <w:szCs w:val="22"/>
        </w:rPr>
        <w:t xml:space="preserve">In RAN1 #98b, two approaches for supporting an enhanced PDCCH monitoring capability were discussed. In this section, we discuss how adopting Option 1 </w:t>
      </w:r>
      <w:r w:rsidR="00B6704C" w:rsidRPr="00EA1CF3">
        <w:rPr>
          <w:rFonts w:asciiTheme="majorBidi" w:hAnsiTheme="majorBidi" w:cstheme="majorBidi"/>
          <w:szCs w:val="22"/>
        </w:rPr>
        <w:t>would allow for increasing the number of CCEs and also BDs per slot</w:t>
      </w:r>
      <w:r>
        <w:rPr>
          <w:rFonts w:asciiTheme="majorBidi" w:hAnsiTheme="majorBidi" w:cstheme="majorBidi"/>
          <w:szCs w:val="22"/>
        </w:rPr>
        <w:t xml:space="preserve"> as compared to Rel. 15 NR limits</w:t>
      </w:r>
      <w:r w:rsidR="00B6704C" w:rsidRPr="00EA1CF3">
        <w:rPr>
          <w:rFonts w:asciiTheme="majorBidi" w:hAnsiTheme="majorBidi" w:cstheme="majorBidi"/>
          <w:szCs w:val="22"/>
        </w:rPr>
        <w:t xml:space="preserve">, relaxing the DCI size budget per slot, solving the issue of non-uniform number of CCEs/BDs per span due to </w:t>
      </w:r>
      <w:r>
        <w:rPr>
          <w:rFonts w:asciiTheme="majorBidi" w:hAnsiTheme="majorBidi" w:cstheme="majorBidi"/>
          <w:szCs w:val="22"/>
        </w:rPr>
        <w:t xml:space="preserve">configuring the </w:t>
      </w:r>
      <w:r w:rsidR="00B6704C" w:rsidRPr="00EA1CF3">
        <w:rPr>
          <w:rFonts w:asciiTheme="majorBidi" w:hAnsiTheme="majorBidi" w:cstheme="majorBidi"/>
          <w:szCs w:val="22"/>
        </w:rPr>
        <w:t>CSS</w:t>
      </w:r>
      <w:r w:rsidR="00520E03" w:rsidRPr="00EA1CF3">
        <w:rPr>
          <w:rFonts w:asciiTheme="majorBidi" w:hAnsiTheme="majorBidi" w:cstheme="majorBidi"/>
          <w:szCs w:val="22"/>
        </w:rPr>
        <w:t xml:space="preserve">, removing the need for </w:t>
      </w:r>
      <w:r>
        <w:rPr>
          <w:rFonts w:asciiTheme="majorBidi" w:hAnsiTheme="majorBidi" w:cstheme="majorBidi"/>
          <w:szCs w:val="22"/>
        </w:rPr>
        <w:t xml:space="preserve">defining the </w:t>
      </w:r>
      <w:r w:rsidR="00520E03" w:rsidRPr="00EA1CF3">
        <w:rPr>
          <w:rFonts w:asciiTheme="majorBidi" w:hAnsiTheme="majorBidi" w:cstheme="majorBidi"/>
          <w:szCs w:val="22"/>
        </w:rPr>
        <w:t>CCE/BD overbooking</w:t>
      </w:r>
      <w:r>
        <w:rPr>
          <w:rFonts w:asciiTheme="majorBidi" w:hAnsiTheme="majorBidi" w:cstheme="majorBidi"/>
          <w:szCs w:val="22"/>
        </w:rPr>
        <w:t xml:space="preserve"> and dropping per span, </w:t>
      </w:r>
      <w:r w:rsidR="00B6704C" w:rsidRPr="00EA1CF3">
        <w:rPr>
          <w:rFonts w:asciiTheme="majorBidi" w:hAnsiTheme="majorBidi" w:cstheme="majorBidi"/>
          <w:szCs w:val="22"/>
        </w:rPr>
        <w:t xml:space="preserve">and </w:t>
      </w:r>
      <w:r w:rsidR="00520E03" w:rsidRPr="00EA1CF3">
        <w:rPr>
          <w:rFonts w:asciiTheme="majorBidi" w:hAnsiTheme="majorBidi" w:cstheme="majorBidi"/>
          <w:szCs w:val="22"/>
        </w:rPr>
        <w:t xml:space="preserve">solving </w:t>
      </w:r>
      <w:r w:rsidR="00B6704C" w:rsidRPr="00EA1CF3">
        <w:rPr>
          <w:rFonts w:asciiTheme="majorBidi" w:hAnsiTheme="majorBidi" w:cstheme="majorBidi"/>
          <w:szCs w:val="22"/>
        </w:rPr>
        <w:t xml:space="preserve">the issue of dealing with “empty” spans for URLLC scheduling. </w:t>
      </w:r>
    </w:p>
    <w:p w14:paraId="3F402824" w14:textId="3DCDEADC" w:rsidR="00B6704C" w:rsidRPr="00EA1CF3" w:rsidRDefault="00B6704C" w:rsidP="00B6704C">
      <w:pPr>
        <w:pStyle w:val="Heading2"/>
        <w:rPr>
          <w:rFonts w:ascii="Times New Roman" w:hAnsi="Times New Roman"/>
        </w:rPr>
      </w:pPr>
      <w:r w:rsidRPr="00EA1CF3">
        <w:rPr>
          <w:rFonts w:ascii="Times New Roman" w:hAnsi="Times New Roman"/>
        </w:rPr>
        <w:t>CA Framework for URLLC PDCCH Monitoring Capability</w:t>
      </w:r>
    </w:p>
    <w:p w14:paraId="04B1E65A" w14:textId="2DB236BE" w:rsidR="00DE3D26" w:rsidRDefault="00426187" w:rsidP="00272DEF">
      <w:pPr>
        <w:jc w:val="both"/>
        <w:rPr>
          <w:rFonts w:asciiTheme="majorBidi" w:hAnsiTheme="majorBidi" w:cstheme="majorBidi"/>
          <w:szCs w:val="22"/>
        </w:rPr>
      </w:pPr>
      <w:r>
        <w:rPr>
          <w:rFonts w:asciiTheme="majorBidi" w:hAnsiTheme="majorBidi" w:cstheme="majorBidi"/>
          <w:szCs w:val="22"/>
        </w:rPr>
        <w:t>Under Option 1,</w:t>
      </w:r>
      <w:r w:rsidR="00F93F22" w:rsidRPr="00EA1CF3">
        <w:rPr>
          <w:rFonts w:asciiTheme="majorBidi" w:hAnsiTheme="majorBidi" w:cstheme="majorBidi"/>
          <w:szCs w:val="22"/>
        </w:rPr>
        <w:t xml:space="preserve"> the gNB can configure the UE that supports multiple services</w:t>
      </w:r>
      <w:r w:rsidR="00DE3D26">
        <w:rPr>
          <w:rFonts w:asciiTheme="majorBidi" w:hAnsiTheme="majorBidi" w:cstheme="majorBidi"/>
          <w:szCs w:val="22"/>
        </w:rPr>
        <w:t xml:space="preserve"> with different PDCCH monitoring configurations, each of which is suitable for one the services</w:t>
      </w:r>
      <w:r w:rsidR="00F93F22" w:rsidRPr="00EA1CF3">
        <w:rPr>
          <w:rFonts w:asciiTheme="majorBidi" w:hAnsiTheme="majorBidi" w:cstheme="majorBidi"/>
          <w:szCs w:val="22"/>
        </w:rPr>
        <w:t>.</w:t>
      </w:r>
      <w:r w:rsidR="002B06DF" w:rsidRPr="00EA1CF3">
        <w:rPr>
          <w:rFonts w:asciiTheme="majorBidi" w:hAnsiTheme="majorBidi" w:cstheme="majorBidi"/>
          <w:szCs w:val="22"/>
        </w:rPr>
        <w:t xml:space="preserve"> </w:t>
      </w:r>
      <w:r w:rsidR="00DE3D26">
        <w:rPr>
          <w:rFonts w:asciiTheme="majorBidi" w:hAnsiTheme="majorBidi" w:cstheme="majorBidi"/>
          <w:szCs w:val="22"/>
        </w:rPr>
        <w:t>As an example, if the UE reports that it supports PDCCH monitoring capability of 3-1 for monitoring Rel. 15 DCI formats, and the new enhanced PDCCH monitoring capability for monitoring Rel. 16 DCI fomats, then, the gNB can configure the UE separately, but simultaneously, with both. The CCE/BD limits of the former configuration is still based on the limits defined in Rel. 15, e.g., 44 BDs and 36 CCEs can be configured at the beginning of each slot without resuing any of them for URLLC scheduling. Hence, the gNB can completely retain its flexibility for scheduling eMBB. In addition, the gNB can configure the UE with CORESETs/search space configurations that are defined based on the new PDCCH monitoring capability. The UE will support additional number CCEs in the spans defined in Rel. 16. As a result, the UE capability does not enforce any limitation on the scheduler. Unlike Option 1, Option 2 reduces the gNB flexibility in scheduling eMBB as compared to Rel. 15; this is because due to the per-span limit, not all CCEs/BDs can be placed in one span.</w:t>
      </w:r>
      <w:r w:rsidR="00D43984">
        <w:rPr>
          <w:rFonts w:asciiTheme="majorBidi" w:hAnsiTheme="majorBidi" w:cstheme="majorBidi"/>
          <w:szCs w:val="22"/>
        </w:rPr>
        <w:t xml:space="preserve"> </w:t>
      </w:r>
    </w:p>
    <w:p w14:paraId="6EE3A15C" w14:textId="77777777" w:rsidR="00D90FD9" w:rsidRDefault="00D90FD9" w:rsidP="00D90FD9">
      <w:pPr>
        <w:jc w:val="both"/>
        <w:rPr>
          <w:rFonts w:asciiTheme="majorBidi" w:hAnsiTheme="majorBidi" w:cstheme="majorBidi"/>
          <w:b/>
          <w:szCs w:val="22"/>
        </w:rPr>
      </w:pPr>
      <w:r w:rsidRPr="00182B6A">
        <w:rPr>
          <w:rFonts w:asciiTheme="majorBidi" w:hAnsiTheme="majorBidi" w:cstheme="majorBidi"/>
          <w:b/>
          <w:szCs w:val="22"/>
        </w:rPr>
        <w:t xml:space="preserve">Observation 1: </w:t>
      </w:r>
      <w:r>
        <w:rPr>
          <w:rFonts w:asciiTheme="majorBidi" w:hAnsiTheme="majorBidi" w:cstheme="majorBidi"/>
          <w:b/>
          <w:szCs w:val="22"/>
        </w:rPr>
        <w:t xml:space="preserve">Specifying the enhanced PDCCH monitoring capability based on Option 1 </w:t>
      </w:r>
      <w:r w:rsidRPr="00182B6A">
        <w:rPr>
          <w:rFonts w:asciiTheme="majorBidi" w:hAnsiTheme="majorBidi" w:cstheme="majorBidi"/>
          <w:b/>
          <w:szCs w:val="22"/>
        </w:rPr>
        <w:t>allows for increasing the number of CCEs per slot.</w:t>
      </w:r>
      <w:r>
        <w:rPr>
          <w:rFonts w:asciiTheme="majorBidi" w:hAnsiTheme="majorBidi" w:cstheme="majorBidi"/>
          <w:b/>
          <w:szCs w:val="22"/>
        </w:rPr>
        <w:t xml:space="preserve"> Hence, not only the gNB can schedule URLLC efficiently, but also it retains its full flexibility to schedule eMBB.</w:t>
      </w:r>
      <w:r w:rsidRPr="00182B6A">
        <w:rPr>
          <w:rFonts w:asciiTheme="majorBidi" w:hAnsiTheme="majorBidi" w:cstheme="majorBidi"/>
          <w:b/>
          <w:szCs w:val="22"/>
        </w:rPr>
        <w:t xml:space="preserve"> </w:t>
      </w:r>
    </w:p>
    <w:p w14:paraId="2AD0F35A" w14:textId="3BF94855" w:rsidR="00D43984" w:rsidRDefault="00D43984" w:rsidP="00272DEF">
      <w:pPr>
        <w:jc w:val="both"/>
        <w:rPr>
          <w:rFonts w:asciiTheme="majorBidi" w:hAnsiTheme="majorBidi" w:cstheme="majorBidi"/>
          <w:b/>
          <w:szCs w:val="22"/>
        </w:rPr>
      </w:pPr>
      <w:r>
        <w:rPr>
          <w:rFonts w:asciiTheme="majorBidi" w:hAnsiTheme="majorBidi" w:cstheme="majorBidi"/>
          <w:b/>
          <w:szCs w:val="22"/>
        </w:rPr>
        <w:t>Observation 2: By enforcing the per-span CCE/BD limit, Option 2 reduces the gNB’s flexibility in scheduling eMBB</w:t>
      </w:r>
      <w:r w:rsidR="00A74CB9">
        <w:rPr>
          <w:rFonts w:asciiTheme="majorBidi" w:hAnsiTheme="majorBidi" w:cstheme="majorBidi"/>
          <w:b/>
          <w:szCs w:val="22"/>
        </w:rPr>
        <w:t>, which most likely scheduled on a once-per-slot basis</w:t>
      </w:r>
      <w:r>
        <w:rPr>
          <w:rFonts w:asciiTheme="majorBidi" w:hAnsiTheme="majorBidi" w:cstheme="majorBidi"/>
          <w:b/>
          <w:szCs w:val="22"/>
        </w:rPr>
        <w:t>.</w:t>
      </w:r>
    </w:p>
    <w:p w14:paraId="586D5AE0" w14:textId="795A2A13" w:rsidR="00D43984" w:rsidRDefault="00D43984" w:rsidP="00D43984">
      <w:pPr>
        <w:jc w:val="both"/>
        <w:rPr>
          <w:rFonts w:asciiTheme="majorBidi" w:hAnsiTheme="majorBidi" w:cstheme="majorBidi"/>
          <w:bCs/>
        </w:rPr>
      </w:pPr>
      <w:r>
        <w:rPr>
          <w:rFonts w:asciiTheme="majorBidi" w:hAnsiTheme="majorBidi" w:cstheme="majorBidi"/>
          <w:bCs/>
        </w:rPr>
        <w:t xml:space="preserve">Another important aspect to consider is that whether CCE/BD overbooking is required for URLLC schdueling? In terms of both the implenetation as well as the specification efforts, it is critical to ensure that overbooking is not required for the new ehnaced PDCCH monitoring configurations. Since the CCE, and possibly the BD, limits are defined on a per-span limit, if overbooking is not avoided, the UE is required to perform CCE/BD counting and dropping multiple times per slot. To enable this feature, the overbooking and dropping rules need to be revisited. In addition, the new rules should guarantee that the UE implementation complexity is not increased. Hence, it is desirable to avoid CCE/BD overbooking for scheduling a UE with the Rel. 16 DL/UL DCI formats. </w:t>
      </w:r>
    </w:p>
    <w:p w14:paraId="5BBCEEB0" w14:textId="50D49DA4" w:rsidR="00D43984" w:rsidRDefault="003A0D45" w:rsidP="00D43984">
      <w:pPr>
        <w:jc w:val="both"/>
        <w:rPr>
          <w:rFonts w:asciiTheme="majorBidi" w:hAnsiTheme="majorBidi" w:cstheme="majorBidi"/>
          <w:bCs/>
        </w:rPr>
      </w:pPr>
      <w:r>
        <w:rPr>
          <w:rFonts w:asciiTheme="majorBidi" w:hAnsiTheme="majorBidi" w:cstheme="majorBidi"/>
          <w:bCs/>
        </w:rPr>
        <w:t xml:space="preserve">The CCE/BD overbooking can easily be avoided by adopting Option 1. First, it should be note that </w:t>
      </w:r>
      <w:r w:rsidR="00D43984">
        <w:rPr>
          <w:rFonts w:asciiTheme="majorBidi" w:hAnsiTheme="majorBidi" w:cstheme="majorBidi"/>
          <w:bCs/>
        </w:rPr>
        <w:t xml:space="preserve">in Rel. 15 NR, overbooking is only performed on the Pcell, and not allowed on the Scells; this is because the UE only monitors CSS on the Pcell. </w:t>
      </w:r>
      <w:r>
        <w:rPr>
          <w:rFonts w:asciiTheme="majorBidi" w:hAnsiTheme="majorBidi" w:cstheme="majorBidi"/>
          <w:bCs/>
        </w:rPr>
        <w:t>Further, under Option 1, the PDCCH monitoring configuration of eMBB and URLLC can be made separated, i.e., there is no dependency between the two. Hence, considering these two aspects</w:t>
      </w:r>
      <w:r w:rsidR="00D43984">
        <w:rPr>
          <w:rFonts w:asciiTheme="majorBidi" w:hAnsiTheme="majorBidi" w:cstheme="majorBidi"/>
          <w:bCs/>
        </w:rPr>
        <w:t>, similar to the rationale used in Rel. 15 NR for overbooking on the Scells, there is no need for CCE/BD overbooking and dropping for URLLC.</w:t>
      </w:r>
    </w:p>
    <w:p w14:paraId="19FD7E8D" w14:textId="3D0071D9" w:rsidR="00B13015" w:rsidRDefault="00B13015" w:rsidP="00D43984">
      <w:pPr>
        <w:jc w:val="both"/>
        <w:rPr>
          <w:rFonts w:asciiTheme="majorBidi" w:hAnsiTheme="majorBidi" w:cstheme="majorBidi"/>
          <w:b/>
          <w:bCs/>
        </w:rPr>
      </w:pPr>
      <w:r>
        <w:rPr>
          <w:rFonts w:asciiTheme="majorBidi" w:hAnsiTheme="majorBidi" w:cstheme="majorBidi"/>
          <w:b/>
          <w:bCs/>
        </w:rPr>
        <w:t>Observation 3: Given the per-span CCE/</w:t>
      </w:r>
      <w:r w:rsidR="004E6000">
        <w:rPr>
          <w:rFonts w:asciiTheme="majorBidi" w:hAnsiTheme="majorBidi" w:cstheme="majorBidi"/>
          <w:b/>
          <w:bCs/>
        </w:rPr>
        <w:t xml:space="preserve">BD </w:t>
      </w:r>
      <w:r>
        <w:rPr>
          <w:rFonts w:asciiTheme="majorBidi" w:hAnsiTheme="majorBidi" w:cstheme="majorBidi"/>
          <w:b/>
          <w:bCs/>
        </w:rPr>
        <w:t>limit</w:t>
      </w:r>
      <w:r w:rsidR="004E6000">
        <w:rPr>
          <w:rFonts w:asciiTheme="majorBidi" w:hAnsiTheme="majorBidi" w:cstheme="majorBidi"/>
          <w:b/>
          <w:bCs/>
        </w:rPr>
        <w:t xml:space="preserve"> of the enhanced PDCCH monitoring capability</w:t>
      </w:r>
      <w:r>
        <w:rPr>
          <w:rFonts w:asciiTheme="majorBidi" w:hAnsiTheme="majorBidi" w:cstheme="majorBidi"/>
          <w:b/>
          <w:bCs/>
        </w:rPr>
        <w:t>, in terms of both the UE implementation complexities and specification efforts, CCE/BD overbooking should be avoided for scheduling a UE with the Rel. 16 DCI formats.</w:t>
      </w:r>
      <w:r w:rsidR="000F3838">
        <w:rPr>
          <w:rFonts w:asciiTheme="majorBidi" w:hAnsiTheme="majorBidi" w:cstheme="majorBidi"/>
          <w:b/>
          <w:bCs/>
        </w:rPr>
        <w:t xml:space="preserve"> This task can be accomplished by separating the PDCCH monitoring capabilities and configurations according to Option 1.</w:t>
      </w:r>
    </w:p>
    <w:p w14:paraId="7FC625EA" w14:textId="65A0798C" w:rsidR="00C2370F" w:rsidRDefault="00D43984" w:rsidP="00D43984">
      <w:pPr>
        <w:jc w:val="both"/>
        <w:rPr>
          <w:rFonts w:asciiTheme="majorBidi" w:hAnsiTheme="majorBidi" w:cstheme="majorBidi"/>
          <w:b/>
          <w:bCs/>
        </w:rPr>
      </w:pPr>
      <w:r w:rsidRPr="006D533F">
        <w:rPr>
          <w:rFonts w:asciiTheme="majorBidi" w:hAnsiTheme="majorBidi" w:cstheme="majorBidi"/>
          <w:b/>
          <w:bCs/>
        </w:rPr>
        <w:t xml:space="preserve">Proposal </w:t>
      </w:r>
      <w:r w:rsidR="00E51503">
        <w:rPr>
          <w:rFonts w:asciiTheme="majorBidi" w:hAnsiTheme="majorBidi" w:cstheme="majorBidi"/>
          <w:b/>
          <w:bCs/>
        </w:rPr>
        <w:t>8</w:t>
      </w:r>
      <w:r w:rsidRPr="006D533F">
        <w:rPr>
          <w:rFonts w:asciiTheme="majorBidi" w:hAnsiTheme="majorBidi" w:cstheme="majorBidi"/>
          <w:b/>
          <w:bCs/>
        </w:rPr>
        <w:t xml:space="preserve">: The CCE/BD overbooking is only performed </w:t>
      </w:r>
      <w:r w:rsidR="004E6000">
        <w:rPr>
          <w:rFonts w:asciiTheme="majorBidi" w:hAnsiTheme="majorBidi" w:cstheme="majorBidi"/>
          <w:b/>
          <w:bCs/>
        </w:rPr>
        <w:t>on the Pcell and for the PDCCH configurations that are based on the Rel. 15 UE capability.</w:t>
      </w:r>
      <w:r w:rsidRPr="006D533F">
        <w:rPr>
          <w:rFonts w:asciiTheme="majorBidi" w:hAnsiTheme="majorBidi" w:cstheme="majorBidi"/>
          <w:b/>
          <w:bCs/>
        </w:rPr>
        <w:t xml:space="preserve"> For </w:t>
      </w:r>
      <w:r w:rsidR="004E6000">
        <w:rPr>
          <w:rFonts w:asciiTheme="majorBidi" w:hAnsiTheme="majorBidi" w:cstheme="majorBidi"/>
          <w:b/>
          <w:bCs/>
        </w:rPr>
        <w:t>the PDCCH configurations that are based on the enhanced PDCCH monitoring capability</w:t>
      </w:r>
      <w:r w:rsidRPr="006D533F">
        <w:rPr>
          <w:rFonts w:asciiTheme="majorBidi" w:hAnsiTheme="majorBidi" w:cstheme="majorBidi"/>
          <w:b/>
          <w:bCs/>
        </w:rPr>
        <w:t xml:space="preserve">, overbooking </w:t>
      </w:r>
      <w:r>
        <w:rPr>
          <w:rFonts w:asciiTheme="majorBidi" w:hAnsiTheme="majorBidi" w:cstheme="majorBidi"/>
          <w:b/>
          <w:bCs/>
        </w:rPr>
        <w:t xml:space="preserve">is </w:t>
      </w:r>
      <w:r w:rsidR="004E6000">
        <w:rPr>
          <w:rFonts w:asciiTheme="majorBidi" w:hAnsiTheme="majorBidi" w:cstheme="majorBidi"/>
          <w:b/>
          <w:bCs/>
        </w:rPr>
        <w:t>not supported</w:t>
      </w:r>
      <w:r w:rsidRPr="006D533F">
        <w:rPr>
          <w:rFonts w:asciiTheme="majorBidi" w:hAnsiTheme="majorBidi" w:cstheme="majorBidi"/>
          <w:b/>
          <w:bCs/>
        </w:rPr>
        <w:t xml:space="preserve">. </w:t>
      </w:r>
      <w:r w:rsidR="00E51503">
        <w:rPr>
          <w:rFonts w:asciiTheme="majorBidi" w:hAnsiTheme="majorBidi" w:cstheme="majorBidi"/>
          <w:b/>
          <w:bCs/>
        </w:rPr>
        <w:t>In other words CSS sets are not configured for the enhanced PDCCH monitoring capability.</w:t>
      </w:r>
    </w:p>
    <w:p w14:paraId="11DDC6BE" w14:textId="129C4161" w:rsidR="000F0C40" w:rsidRDefault="00D90FD9" w:rsidP="00272DEF">
      <w:pPr>
        <w:jc w:val="both"/>
        <w:rPr>
          <w:rFonts w:asciiTheme="majorBidi" w:hAnsiTheme="majorBidi" w:cstheme="majorBidi"/>
          <w:szCs w:val="22"/>
        </w:rPr>
      </w:pPr>
      <w:r>
        <w:rPr>
          <w:rFonts w:asciiTheme="majorBidi" w:hAnsiTheme="majorBidi" w:cstheme="majorBidi"/>
          <w:szCs w:val="22"/>
        </w:rPr>
        <w:t>When a UE is configured with two different minimum processing time capabilities on a given carrier, i</w:t>
      </w:r>
      <w:r w:rsidR="000F3838">
        <w:rPr>
          <w:rFonts w:asciiTheme="majorBidi" w:hAnsiTheme="majorBidi" w:cstheme="majorBidi"/>
          <w:szCs w:val="22"/>
        </w:rPr>
        <w:t xml:space="preserve">n order to realize the benefits of Option 1, </w:t>
      </w:r>
      <w:r w:rsidR="000F0C40">
        <w:rPr>
          <w:rFonts w:asciiTheme="majorBidi" w:hAnsiTheme="majorBidi" w:cstheme="majorBidi"/>
          <w:szCs w:val="22"/>
        </w:rPr>
        <w:t>the</w:t>
      </w:r>
      <w:r w:rsidR="00E52D78">
        <w:rPr>
          <w:rFonts w:asciiTheme="majorBidi" w:hAnsiTheme="majorBidi" w:cstheme="majorBidi"/>
          <w:szCs w:val="22"/>
        </w:rPr>
        <w:t xml:space="preserve"> PDCCH </w:t>
      </w:r>
      <w:r w:rsidR="000F0C40">
        <w:rPr>
          <w:rFonts w:asciiTheme="majorBidi" w:hAnsiTheme="majorBidi" w:cstheme="majorBidi"/>
          <w:szCs w:val="22"/>
        </w:rPr>
        <w:t xml:space="preserve">configurations for monitoring the Rel. 15 and Rel. 16 DCI formats should be </w:t>
      </w:r>
      <w:r w:rsidR="00E52D78">
        <w:rPr>
          <w:rFonts w:asciiTheme="majorBidi" w:hAnsiTheme="majorBidi" w:cstheme="majorBidi"/>
          <w:szCs w:val="22"/>
        </w:rPr>
        <w:t xml:space="preserve">made </w:t>
      </w:r>
      <w:r w:rsidR="00E52D78">
        <w:rPr>
          <w:rFonts w:asciiTheme="majorBidi" w:hAnsiTheme="majorBidi" w:cstheme="majorBidi"/>
          <w:szCs w:val="22"/>
        </w:rPr>
        <w:lastRenderedPageBreak/>
        <w:t>differentiable</w:t>
      </w:r>
      <w:r w:rsidR="000F0C40">
        <w:rPr>
          <w:rFonts w:asciiTheme="majorBidi" w:hAnsiTheme="majorBidi" w:cstheme="majorBidi"/>
          <w:szCs w:val="22"/>
        </w:rPr>
        <w:t xml:space="preserve">. This can be done in one of </w:t>
      </w:r>
      <w:r w:rsidR="00E52D78">
        <w:rPr>
          <w:rFonts w:asciiTheme="majorBidi" w:hAnsiTheme="majorBidi" w:cstheme="majorBidi"/>
          <w:szCs w:val="22"/>
        </w:rPr>
        <w:t xml:space="preserve">two </w:t>
      </w:r>
      <w:r w:rsidR="000F0C40">
        <w:rPr>
          <w:rFonts w:asciiTheme="majorBidi" w:hAnsiTheme="majorBidi" w:cstheme="majorBidi"/>
          <w:szCs w:val="22"/>
        </w:rPr>
        <w:t>w</w:t>
      </w:r>
      <w:r w:rsidR="00E52D78">
        <w:rPr>
          <w:rFonts w:asciiTheme="majorBidi" w:hAnsiTheme="majorBidi" w:cstheme="majorBidi"/>
          <w:szCs w:val="22"/>
        </w:rPr>
        <w:t>ays: (1) They are differentiable before decoding the DCI, and (2) They are differentiable only after decoding the DCI. The first approach can</w:t>
      </w:r>
      <w:r>
        <w:rPr>
          <w:rFonts w:asciiTheme="majorBidi" w:hAnsiTheme="majorBidi" w:cstheme="majorBidi"/>
          <w:szCs w:val="22"/>
        </w:rPr>
        <w:t>, for example,</w:t>
      </w:r>
      <w:r w:rsidR="00E52D78">
        <w:rPr>
          <w:rFonts w:asciiTheme="majorBidi" w:hAnsiTheme="majorBidi" w:cstheme="majorBidi"/>
          <w:szCs w:val="22"/>
        </w:rPr>
        <w:t xml:space="preserve"> be adopted by considering different CORESETs for </w:t>
      </w:r>
      <w:r>
        <w:rPr>
          <w:rFonts w:asciiTheme="majorBidi" w:hAnsiTheme="majorBidi" w:cstheme="majorBidi"/>
          <w:szCs w:val="22"/>
        </w:rPr>
        <w:t>scheduling PUSCH/PDSCH with capability #1 and #2</w:t>
      </w:r>
      <w:r w:rsidR="00E52D78">
        <w:rPr>
          <w:rFonts w:asciiTheme="majorBidi" w:hAnsiTheme="majorBidi" w:cstheme="majorBidi"/>
          <w:szCs w:val="22"/>
        </w:rPr>
        <w:t xml:space="preserve">. </w:t>
      </w:r>
    </w:p>
    <w:p w14:paraId="30DCB6DA" w14:textId="4312AB2A" w:rsidR="002C6703" w:rsidRDefault="00C612CC" w:rsidP="00AD61DC">
      <w:pPr>
        <w:jc w:val="both"/>
      </w:pPr>
      <w:r>
        <w:t>Cosndering the discussions in this section, we propose that:</w:t>
      </w:r>
    </w:p>
    <w:p w14:paraId="2F2F62C0" w14:textId="2744E594" w:rsidR="00C612CC" w:rsidRDefault="00C612CC" w:rsidP="00AD61DC">
      <w:pPr>
        <w:jc w:val="both"/>
        <w:rPr>
          <w:rFonts w:asciiTheme="majorBidi" w:hAnsiTheme="majorBidi" w:cstheme="majorBidi"/>
          <w:b/>
          <w:bCs/>
        </w:rPr>
      </w:pPr>
      <w:r w:rsidRPr="00C612CC">
        <w:rPr>
          <w:b/>
        </w:rPr>
        <w:t xml:space="preserve">Proposal </w:t>
      </w:r>
      <w:r w:rsidR="0092216B">
        <w:rPr>
          <w:b/>
        </w:rPr>
        <w:t>9</w:t>
      </w:r>
      <w:r w:rsidRPr="00C612CC">
        <w:rPr>
          <w:b/>
        </w:rPr>
        <w:t>:</w:t>
      </w:r>
      <w:r>
        <w:t xml:space="preserve"> </w:t>
      </w:r>
      <w:r w:rsidR="0015648D">
        <w:rPr>
          <w:rFonts w:asciiTheme="majorBidi" w:hAnsiTheme="majorBidi" w:cstheme="majorBidi"/>
          <w:b/>
          <w:bCs/>
        </w:rPr>
        <w:t xml:space="preserve">In Rel. 16, Option 1 that allows for separate PDCCH monitoring capability signaling and configuration for scheduling a UE with Rel. 15 and Rel. 16 DCI formats should be adopted. </w:t>
      </w:r>
    </w:p>
    <w:p w14:paraId="5B124ED4" w14:textId="32579C22" w:rsidR="0015648D" w:rsidRDefault="0015648D" w:rsidP="00AD61DC">
      <w:pPr>
        <w:jc w:val="both"/>
        <w:rPr>
          <w:rFonts w:asciiTheme="majorBidi" w:hAnsiTheme="majorBidi" w:cstheme="majorBidi"/>
          <w:b/>
          <w:bCs/>
        </w:rPr>
      </w:pPr>
      <w:r>
        <w:rPr>
          <w:rFonts w:asciiTheme="majorBidi" w:hAnsiTheme="majorBidi" w:cstheme="majorBidi"/>
          <w:b/>
          <w:bCs/>
        </w:rPr>
        <w:t xml:space="preserve">Proposal </w:t>
      </w:r>
      <w:r w:rsidR="0092216B">
        <w:rPr>
          <w:rFonts w:asciiTheme="majorBidi" w:hAnsiTheme="majorBidi" w:cstheme="majorBidi"/>
          <w:b/>
          <w:bCs/>
        </w:rPr>
        <w:t>10</w:t>
      </w:r>
      <w:r>
        <w:rPr>
          <w:rFonts w:asciiTheme="majorBidi" w:hAnsiTheme="majorBidi" w:cstheme="majorBidi"/>
          <w:b/>
          <w:bCs/>
        </w:rPr>
        <w:t xml:space="preserve">: Under Option 1, the configuration of PDCCH monitoring occasions for monitoring Rel. 15 and Rel. 16 DCI formats </w:t>
      </w:r>
      <w:r w:rsidR="00260677">
        <w:rPr>
          <w:rFonts w:asciiTheme="majorBidi" w:hAnsiTheme="majorBidi" w:cstheme="majorBidi"/>
          <w:b/>
          <w:bCs/>
        </w:rPr>
        <w:t>are separated by using different CORESETs</w:t>
      </w:r>
      <w:r w:rsidR="0092216B">
        <w:rPr>
          <w:rFonts w:asciiTheme="majorBidi" w:hAnsiTheme="majorBidi" w:cstheme="majorBidi"/>
          <w:b/>
          <w:bCs/>
        </w:rPr>
        <w:t xml:space="preserve"> in case a UE is configured with two minimum processing time capabilities on the same carrier</w:t>
      </w:r>
      <w:r w:rsidR="00260677">
        <w:rPr>
          <w:rFonts w:asciiTheme="majorBidi" w:hAnsiTheme="majorBidi" w:cstheme="majorBidi"/>
          <w:b/>
          <w:bCs/>
        </w:rPr>
        <w:t>.</w:t>
      </w:r>
    </w:p>
    <w:p w14:paraId="1C76C13F" w14:textId="46DE3905" w:rsidR="001D192D" w:rsidRDefault="001D192D" w:rsidP="001D192D">
      <w:pPr>
        <w:jc w:val="both"/>
      </w:pPr>
      <w:r>
        <w:rPr>
          <w:rFonts w:asciiTheme="majorBidi" w:hAnsiTheme="majorBidi" w:cstheme="majorBidi"/>
          <w:bCs/>
        </w:rPr>
        <w:t xml:space="preserve">In addition, in order to balance the UE complexity, the </w:t>
      </w:r>
      <w:r w:rsidRPr="003A0938">
        <w:rPr>
          <w:i/>
        </w:rPr>
        <w:t>pdcch-BlindDetectionCA</w:t>
      </w:r>
      <w:r>
        <w:rPr>
          <w:i/>
        </w:rPr>
        <w:t xml:space="preserve"> </w:t>
      </w:r>
      <w:r w:rsidRPr="003A0938">
        <w:t>can be reported by the UE separately for eMBB and URLLC scheduling.</w:t>
      </w:r>
      <w:r>
        <w:t xml:space="preserve"> Given the per-slot per-CC BD limit, this means that the UE indicates the total number of BDs that case be used across all carriers for eMBB and URLLC scheduling separately. </w:t>
      </w:r>
      <w:r w:rsidR="00D64456">
        <w:t xml:space="preserve">The capabilities can be reported such that the sum of the minimum values is not larger than 4. </w:t>
      </w:r>
    </w:p>
    <w:p w14:paraId="12E0482F" w14:textId="56C313D5" w:rsidR="001D192D" w:rsidRDefault="001D192D" w:rsidP="001D192D">
      <w:pPr>
        <w:jc w:val="both"/>
        <w:rPr>
          <w:rFonts w:asciiTheme="majorBidi" w:hAnsiTheme="majorBidi" w:cstheme="majorBidi"/>
          <w:b/>
          <w:bCs/>
        </w:rPr>
      </w:pPr>
      <w:r w:rsidRPr="003A0938">
        <w:rPr>
          <w:rFonts w:asciiTheme="majorBidi" w:hAnsiTheme="majorBidi" w:cstheme="majorBidi"/>
          <w:b/>
          <w:bCs/>
        </w:rPr>
        <w:t xml:space="preserve">Proposal </w:t>
      </w:r>
      <w:r w:rsidR="0092216B">
        <w:rPr>
          <w:rFonts w:asciiTheme="majorBidi" w:hAnsiTheme="majorBidi" w:cstheme="majorBidi"/>
          <w:b/>
          <w:bCs/>
        </w:rPr>
        <w:t>11</w:t>
      </w:r>
      <w:r w:rsidRPr="003A0938">
        <w:rPr>
          <w:rFonts w:asciiTheme="majorBidi" w:hAnsiTheme="majorBidi" w:cstheme="majorBidi"/>
          <w:b/>
          <w:bCs/>
        </w:rPr>
        <w:t>: The BD limits are defined separately for scheduling</w:t>
      </w:r>
      <w:r w:rsidR="00F77360">
        <w:rPr>
          <w:rFonts w:asciiTheme="majorBidi" w:hAnsiTheme="majorBidi" w:cstheme="majorBidi"/>
          <w:b/>
          <w:bCs/>
        </w:rPr>
        <w:t xml:space="preserve"> a UE based on the Rel. 15 and Rel. 16 DCI formats</w:t>
      </w:r>
      <w:r w:rsidRPr="003A0938">
        <w:rPr>
          <w:rFonts w:asciiTheme="majorBidi" w:hAnsiTheme="majorBidi" w:cstheme="majorBidi"/>
          <w:b/>
          <w:bCs/>
        </w:rPr>
        <w:t xml:space="preserve">. </w:t>
      </w:r>
      <w:r w:rsidR="00F77360">
        <w:rPr>
          <w:rFonts w:asciiTheme="majorBidi" w:hAnsiTheme="majorBidi" w:cstheme="majorBidi"/>
          <w:b/>
          <w:bCs/>
        </w:rPr>
        <w:t xml:space="preserve">To schedule the UE with a Rel. 15 DCI formats, the per-slot limits of Rel. 15 are kept unchanged. </w:t>
      </w:r>
    </w:p>
    <w:p w14:paraId="4F66ACDE" w14:textId="4B0A057B" w:rsidR="001D192D" w:rsidRPr="008E235B" w:rsidRDefault="001D192D" w:rsidP="001D192D">
      <w:pPr>
        <w:jc w:val="both"/>
        <w:rPr>
          <w:rFonts w:asciiTheme="majorBidi" w:hAnsiTheme="majorBidi" w:cstheme="majorBidi"/>
          <w:b/>
          <w:bCs/>
        </w:rPr>
      </w:pPr>
      <w:r>
        <w:rPr>
          <w:rFonts w:asciiTheme="majorBidi" w:hAnsiTheme="majorBidi" w:cstheme="majorBidi"/>
          <w:b/>
          <w:bCs/>
        </w:rPr>
        <w:t xml:space="preserve">Proposal </w:t>
      </w:r>
      <w:r w:rsidR="0092216B">
        <w:rPr>
          <w:rFonts w:asciiTheme="majorBidi" w:hAnsiTheme="majorBidi" w:cstheme="majorBidi"/>
          <w:b/>
          <w:bCs/>
        </w:rPr>
        <w:t>12</w:t>
      </w:r>
      <w:r>
        <w:rPr>
          <w:rFonts w:asciiTheme="majorBidi" w:hAnsiTheme="majorBidi" w:cstheme="majorBidi"/>
          <w:b/>
          <w:bCs/>
        </w:rPr>
        <w:t xml:space="preserve">: The PDCCH BD capability of a UE, i.e., </w:t>
      </w:r>
      <w:r w:rsidRPr="003A0938">
        <w:rPr>
          <w:b/>
          <w:i/>
        </w:rPr>
        <w:t>pdcch-BlindDetectionCA</w:t>
      </w:r>
      <w:r>
        <w:rPr>
          <w:b/>
        </w:rPr>
        <w:t>,</w:t>
      </w:r>
      <w:r w:rsidRPr="003A0938">
        <w:rPr>
          <w:b/>
        </w:rPr>
        <w:t xml:space="preserve"> is reported separately for </w:t>
      </w:r>
      <w:r w:rsidR="00F77360">
        <w:rPr>
          <w:b/>
        </w:rPr>
        <w:t>monitoring the Rel. 15 and Rel. 16 DCI formats</w:t>
      </w:r>
      <w:r w:rsidRPr="003A0938">
        <w:rPr>
          <w:b/>
        </w:rPr>
        <w:t>.</w:t>
      </w:r>
      <w:r>
        <w:rPr>
          <w:rFonts w:asciiTheme="majorBidi" w:hAnsiTheme="majorBidi" w:cstheme="majorBidi"/>
          <w:b/>
          <w:bCs/>
        </w:rPr>
        <w:t xml:space="preserve"> When the UE reports the PDCCH BD capability</w:t>
      </w:r>
      <w:r w:rsidR="00F77360">
        <w:rPr>
          <w:rFonts w:asciiTheme="majorBidi" w:hAnsiTheme="majorBidi" w:cstheme="majorBidi"/>
          <w:b/>
          <w:bCs/>
        </w:rPr>
        <w:t xml:space="preserve"> across a number of aggregated carriers,</w:t>
      </w:r>
      <w:r>
        <w:rPr>
          <w:rFonts w:asciiTheme="majorBidi" w:hAnsiTheme="majorBidi" w:cstheme="majorBidi"/>
          <w:b/>
          <w:bCs/>
        </w:rPr>
        <w:t xml:space="preserve"> </w:t>
      </w:r>
      <w:r w:rsidR="00D64456">
        <w:rPr>
          <w:rFonts w:asciiTheme="majorBidi" w:hAnsiTheme="majorBidi" w:cstheme="majorBidi"/>
          <w:b/>
          <w:bCs/>
        </w:rPr>
        <w:t>the sum of the minimum values could be 4</w:t>
      </w:r>
      <w:r w:rsidRPr="008E235B">
        <w:rPr>
          <w:b/>
        </w:rPr>
        <w:t>.</w:t>
      </w:r>
    </w:p>
    <w:p w14:paraId="06699B48" w14:textId="3B5D8A1D" w:rsidR="001D192D" w:rsidRDefault="004F2E20" w:rsidP="00AD61DC">
      <w:pPr>
        <w:jc w:val="both"/>
      </w:pPr>
      <w:r>
        <w:t>In addition</w:t>
      </w:r>
      <w:r w:rsidRPr="004F2E20">
        <w:t>, the same as the limit on the number of CCEs agreed for Rel. 16, the number of BDs per span should be limited.</w:t>
      </w:r>
    </w:p>
    <w:p w14:paraId="684A30F7" w14:textId="4045050F" w:rsidR="004F2E20" w:rsidRDefault="004F2E20" w:rsidP="004F2E20">
      <w:pPr>
        <w:jc w:val="both"/>
        <w:rPr>
          <w:rFonts w:asciiTheme="majorBidi" w:hAnsiTheme="majorBidi" w:cstheme="majorBidi"/>
          <w:b/>
          <w:bCs/>
        </w:rPr>
      </w:pPr>
      <w:r>
        <w:rPr>
          <w:rFonts w:asciiTheme="majorBidi" w:hAnsiTheme="majorBidi" w:cstheme="majorBidi"/>
          <w:b/>
          <w:bCs/>
        </w:rPr>
        <w:t xml:space="preserve">Proposal </w:t>
      </w:r>
      <w:r w:rsidR="0092216B">
        <w:rPr>
          <w:rFonts w:asciiTheme="majorBidi" w:hAnsiTheme="majorBidi" w:cstheme="majorBidi"/>
          <w:b/>
          <w:bCs/>
        </w:rPr>
        <w:t>13</w:t>
      </w:r>
      <w:r>
        <w:rPr>
          <w:rFonts w:asciiTheme="majorBidi" w:hAnsiTheme="majorBidi" w:cstheme="majorBidi"/>
          <w:b/>
          <w:bCs/>
        </w:rPr>
        <w:t>: For scheduling</w:t>
      </w:r>
      <w:r w:rsidR="00F77360">
        <w:rPr>
          <w:rFonts w:asciiTheme="majorBidi" w:hAnsiTheme="majorBidi" w:cstheme="majorBidi"/>
          <w:b/>
          <w:bCs/>
        </w:rPr>
        <w:t xml:space="preserve"> a UE with a Rel. 16 DCI format</w:t>
      </w:r>
      <w:r>
        <w:rPr>
          <w:rFonts w:asciiTheme="majorBidi" w:hAnsiTheme="majorBidi" w:cstheme="majorBidi"/>
          <w:b/>
          <w:bCs/>
        </w:rPr>
        <w:t>, the number of BDs per span is limited</w:t>
      </w:r>
      <w:r w:rsidR="00F77360">
        <w:rPr>
          <w:rFonts w:asciiTheme="majorBidi" w:hAnsiTheme="majorBidi" w:cstheme="majorBidi"/>
          <w:b/>
          <w:bCs/>
        </w:rPr>
        <w:t>.</w:t>
      </w:r>
      <w:r w:rsidR="00D64456">
        <w:rPr>
          <w:rFonts w:asciiTheme="majorBidi" w:hAnsiTheme="majorBidi" w:cstheme="majorBidi"/>
          <w:b/>
          <w:bCs/>
        </w:rPr>
        <w:t xml:space="preserve"> </w:t>
      </w:r>
    </w:p>
    <w:p w14:paraId="053ED550" w14:textId="62AED90E" w:rsidR="002E290E" w:rsidRDefault="0097748B" w:rsidP="00AD61DC">
      <w:pPr>
        <w:jc w:val="both"/>
      </w:pPr>
      <w:r>
        <w:t>R</w:t>
      </w:r>
      <w:r w:rsidR="002E290E">
        <w:t xml:space="preserve">egarding the (X,Y) combinations for the new </w:t>
      </w:r>
      <w:r w:rsidR="00403957">
        <w:t>PDCCH monitoring capability, one of th</w:t>
      </w:r>
      <w:r w:rsidR="00DD1D3D">
        <w:t>e two identified pairs, i.e., (3,2) or (3,3), can be supported to allow for four spans per slot. This will match with the 4TB per span capability. In our view, one of the two can be supported, but (3,</w:t>
      </w:r>
      <w:r w:rsidR="00541652">
        <w:t>3</w:t>
      </w:r>
      <w:r w:rsidR="00DD1D3D">
        <w:t>) is more preferred.</w:t>
      </w:r>
    </w:p>
    <w:p w14:paraId="3C7402F6" w14:textId="6A16F8DC" w:rsidR="00DD1D3D" w:rsidRPr="00DD1D3D" w:rsidRDefault="00DD1D3D" w:rsidP="00D346E8">
      <w:pPr>
        <w:jc w:val="both"/>
        <w:rPr>
          <w:b/>
        </w:rPr>
      </w:pPr>
      <w:r w:rsidRPr="00DD1D3D">
        <w:rPr>
          <w:b/>
        </w:rPr>
        <w:t xml:space="preserve">Proposal </w:t>
      </w:r>
      <w:r w:rsidR="0092216B">
        <w:rPr>
          <w:b/>
        </w:rPr>
        <w:t>14</w:t>
      </w:r>
      <w:r w:rsidRPr="00DD1D3D">
        <w:rPr>
          <w:b/>
        </w:rPr>
        <w:t>: For the Rel. 16 PDCCH monitoring capability, and under Option 1, (X,Y) = (3,</w:t>
      </w:r>
      <w:r w:rsidR="00541652">
        <w:rPr>
          <w:b/>
        </w:rPr>
        <w:t>3</w:t>
      </w:r>
      <w:r w:rsidRPr="00DD1D3D">
        <w:rPr>
          <w:b/>
        </w:rPr>
        <w:t>) can be supported.</w:t>
      </w:r>
    </w:p>
    <w:p w14:paraId="147C1AF7" w14:textId="2DC0064D" w:rsidR="0097748B" w:rsidRPr="0097748B" w:rsidRDefault="0092216B" w:rsidP="00D346E8">
      <w:pPr>
        <w:jc w:val="both"/>
      </w:pPr>
      <w:r>
        <w:t xml:space="preserve">Finally, at least for a UE that supports different minimum processing times on a carrier by reusing the CA framework, increasing the number of non-overlapping CCEs by a factor of 2 is possible. As an example, with SCS = 30KHz, 56 non-overlapping CCEs can be used to configure a UE with a Rel. 15 PDCCH monitoring capability and another 56 non-overlapping CCEs can be used to configure a UE with a Rel. 16 PDCCH monitoring. </w:t>
      </w:r>
    </w:p>
    <w:p w14:paraId="183DFFB8" w14:textId="7DA258B6" w:rsidR="00734309" w:rsidRPr="00D11FA0" w:rsidRDefault="00CC1835" w:rsidP="00D346E8">
      <w:pPr>
        <w:jc w:val="both"/>
        <w:rPr>
          <w:b/>
        </w:rPr>
      </w:pPr>
      <w:r w:rsidRPr="00D11FA0">
        <w:rPr>
          <w:b/>
        </w:rPr>
        <w:t xml:space="preserve">Proposal </w:t>
      </w:r>
      <w:r w:rsidR="0092216B">
        <w:rPr>
          <w:b/>
        </w:rPr>
        <w:t>15</w:t>
      </w:r>
      <w:r w:rsidRPr="00D11FA0">
        <w:rPr>
          <w:b/>
        </w:rPr>
        <w:t xml:space="preserve">: </w:t>
      </w:r>
      <w:r w:rsidR="0092216B">
        <w:rPr>
          <w:b/>
        </w:rPr>
        <w:t>The number of non-overlapping CCEs per slot can be increased by a factor of 2 for each SCS as compared to Rel. 15 NR.</w:t>
      </w:r>
      <w:r w:rsidR="00D11FA0" w:rsidRPr="00D11FA0">
        <w:rPr>
          <w:b/>
        </w:rPr>
        <w:t xml:space="preserve"> </w:t>
      </w: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35BBFF8" w14:textId="77777777" w:rsidR="002E4504" w:rsidRPr="00D62FB0" w:rsidRDefault="002E4504" w:rsidP="006601A3">
      <w:pPr>
        <w:jc w:val="both"/>
        <w:rPr>
          <w:rFonts w:asciiTheme="majorBidi" w:hAnsiTheme="majorBidi" w:cstheme="majorBidi"/>
          <w:lang w:eastAsia="zh-CN"/>
        </w:rPr>
      </w:pPr>
      <w:r w:rsidRPr="00D62FB0">
        <w:rPr>
          <w:rFonts w:asciiTheme="majorBidi" w:hAnsiTheme="majorBidi" w:cstheme="majorBidi"/>
          <w:lang w:eastAsia="zh-CN"/>
        </w:rPr>
        <w:t>In this contribution, we have shared our view on the design of DCI format and enhanced PDCCH monitoring for eURLLC in Rel-16. To this end, we have made the following proposals.</w:t>
      </w:r>
    </w:p>
    <w:p w14:paraId="2A58C801" w14:textId="77777777" w:rsidR="005C3238" w:rsidRPr="00325295" w:rsidRDefault="005C3238" w:rsidP="005C3238">
      <w:pPr>
        <w:jc w:val="both"/>
        <w:rPr>
          <w:b/>
          <w:szCs w:val="22"/>
        </w:rPr>
      </w:pPr>
      <w:r w:rsidRPr="00325295">
        <w:rPr>
          <w:b/>
          <w:szCs w:val="22"/>
        </w:rPr>
        <w:t xml:space="preserve">Proposal </w:t>
      </w:r>
      <w:r>
        <w:rPr>
          <w:b/>
          <w:szCs w:val="22"/>
        </w:rPr>
        <w:t>1</w:t>
      </w:r>
      <w:r w:rsidRPr="00325295">
        <w:rPr>
          <w:b/>
          <w:szCs w:val="22"/>
        </w:rPr>
        <w:t xml:space="preserve">: For </w:t>
      </w:r>
      <w:r>
        <w:rPr>
          <w:b/>
          <w:szCs w:val="22"/>
        </w:rPr>
        <w:t xml:space="preserve">DL </w:t>
      </w:r>
      <w:r w:rsidRPr="00325295">
        <w:rPr>
          <w:b/>
          <w:szCs w:val="22"/>
        </w:rPr>
        <w:t>URLLC scheduling, resource allocation type 0 is not supported.</w:t>
      </w:r>
      <w:r>
        <w:rPr>
          <w:b/>
          <w:szCs w:val="22"/>
        </w:rPr>
        <w:t xml:space="preserve"> With VRB-to-PRB interleaving, and allocation type 1, the URLLC scheduling is sufficiently flexible.</w:t>
      </w:r>
    </w:p>
    <w:p w14:paraId="0D506F0B" w14:textId="1E650216" w:rsidR="005C3238" w:rsidRPr="005C3238" w:rsidRDefault="005C3238" w:rsidP="005C3238">
      <w:pPr>
        <w:tabs>
          <w:tab w:val="num" w:pos="2880"/>
        </w:tabs>
        <w:jc w:val="both"/>
        <w:rPr>
          <w:b/>
          <w:szCs w:val="22"/>
        </w:rPr>
      </w:pPr>
      <w:r w:rsidRPr="00463D11">
        <w:rPr>
          <w:b/>
          <w:szCs w:val="22"/>
        </w:rPr>
        <w:t xml:space="preserve">Proposal </w:t>
      </w:r>
      <w:r>
        <w:rPr>
          <w:b/>
          <w:szCs w:val="22"/>
        </w:rPr>
        <w:t>2</w:t>
      </w:r>
      <w:r w:rsidRPr="00463D11">
        <w:rPr>
          <w:b/>
          <w:szCs w:val="22"/>
        </w:rPr>
        <w:t>: Configure a separate TDRA table for eMBB vs. URLLC scheduling for a UE that supports multiple services.</w:t>
      </w:r>
    </w:p>
    <w:p w14:paraId="61C0C07A" w14:textId="77777777" w:rsidR="005C3238" w:rsidRPr="003416A1" w:rsidRDefault="005C3238" w:rsidP="005C3238">
      <w:pPr>
        <w:tabs>
          <w:tab w:val="num" w:pos="2880"/>
        </w:tabs>
        <w:jc w:val="both"/>
        <w:rPr>
          <w:b/>
          <w:szCs w:val="22"/>
        </w:rPr>
      </w:pPr>
      <w:r w:rsidRPr="003416A1">
        <w:rPr>
          <w:b/>
          <w:szCs w:val="22"/>
        </w:rPr>
        <w:t xml:space="preserve">Proposal </w:t>
      </w:r>
      <w:r>
        <w:rPr>
          <w:b/>
          <w:szCs w:val="22"/>
        </w:rPr>
        <w:t>3</w:t>
      </w:r>
      <w:r w:rsidRPr="003416A1">
        <w:rPr>
          <w:b/>
          <w:szCs w:val="22"/>
        </w:rPr>
        <w:t xml:space="preserve">: The bitwidth of the MCS </w:t>
      </w:r>
      <w:r>
        <w:rPr>
          <w:b/>
          <w:szCs w:val="22"/>
        </w:rPr>
        <w:t>is kept the same as in Rel. 15 in both the new UL and DL DCI scheduling URLLC.</w:t>
      </w:r>
    </w:p>
    <w:p w14:paraId="422B8D3E" w14:textId="77777777" w:rsidR="005C3238" w:rsidRPr="005C3238" w:rsidRDefault="005C3238" w:rsidP="005C3238">
      <w:pPr>
        <w:tabs>
          <w:tab w:val="num" w:pos="2880"/>
        </w:tabs>
        <w:jc w:val="both"/>
        <w:rPr>
          <w:b/>
        </w:rPr>
      </w:pPr>
      <w:r w:rsidRPr="005C3238">
        <w:rPr>
          <w:b/>
        </w:rPr>
        <w:t xml:space="preserve">Proposal 4: For indicating the priority of PUCCH carrying HARQ-ACK, as well as the HARQ-ACK codebook indication, a bit field can be added to the DL DCI. </w:t>
      </w:r>
    </w:p>
    <w:p w14:paraId="6740835A" w14:textId="77777777" w:rsidR="005C3238" w:rsidRPr="00F827D0" w:rsidRDefault="005C3238" w:rsidP="005C3238">
      <w:pPr>
        <w:tabs>
          <w:tab w:val="num" w:pos="2880"/>
        </w:tabs>
        <w:jc w:val="both"/>
        <w:rPr>
          <w:b/>
          <w:szCs w:val="22"/>
        </w:rPr>
      </w:pPr>
      <w:r w:rsidRPr="00F827D0">
        <w:rPr>
          <w:b/>
          <w:szCs w:val="22"/>
        </w:rPr>
        <w:t xml:space="preserve">Proposal </w:t>
      </w:r>
      <w:r>
        <w:rPr>
          <w:b/>
          <w:szCs w:val="22"/>
        </w:rPr>
        <w:t>5</w:t>
      </w:r>
      <w:r w:rsidRPr="00F827D0">
        <w:rPr>
          <w:b/>
          <w:szCs w:val="22"/>
        </w:rPr>
        <w:t xml:space="preserve">: </w:t>
      </w:r>
      <w:r>
        <w:rPr>
          <w:b/>
          <w:szCs w:val="22"/>
        </w:rPr>
        <w:t>The bitwidth of the MCS field is set to 5 bits in the new UL DCI format.</w:t>
      </w:r>
    </w:p>
    <w:p w14:paraId="03D05860" w14:textId="3766D58A" w:rsidR="005C3238" w:rsidRPr="005C3238" w:rsidRDefault="005C3238" w:rsidP="005C3238">
      <w:pPr>
        <w:tabs>
          <w:tab w:val="num" w:pos="2880"/>
        </w:tabs>
        <w:jc w:val="both"/>
        <w:rPr>
          <w:b/>
          <w:szCs w:val="22"/>
        </w:rPr>
      </w:pPr>
      <w:r w:rsidRPr="00E621B2">
        <w:rPr>
          <w:b/>
          <w:szCs w:val="22"/>
        </w:rPr>
        <w:lastRenderedPageBreak/>
        <w:t xml:space="preserve">Proposal </w:t>
      </w:r>
      <w:r>
        <w:rPr>
          <w:b/>
          <w:szCs w:val="22"/>
        </w:rPr>
        <w:t>6</w:t>
      </w:r>
      <w:r w:rsidRPr="00E621B2">
        <w:rPr>
          <w:b/>
          <w:szCs w:val="22"/>
        </w:rPr>
        <w:t xml:space="preserve">: RAN1 should discuss the bitwidth of TDRA and frequency hopping indicator for a DCI scheduling UL URLLC after PUSCH enhancement discussions are progressed more. </w:t>
      </w:r>
    </w:p>
    <w:p w14:paraId="6ADB0ECC" w14:textId="77777777" w:rsidR="005C3238" w:rsidRPr="005C3238" w:rsidRDefault="005C3238" w:rsidP="005C3238">
      <w:pPr>
        <w:tabs>
          <w:tab w:val="num" w:pos="2880"/>
        </w:tabs>
        <w:jc w:val="both"/>
        <w:rPr>
          <w:b/>
        </w:rPr>
      </w:pPr>
      <w:r w:rsidRPr="005C3238">
        <w:rPr>
          <w:b/>
        </w:rPr>
        <w:t xml:space="preserve">Proposal 7: For UL URLLC scheduling, introduce a 1-bit waveform indicator field to dynamically switch between the CP-OFDM and DFT-s-OFDM waveforms. </w:t>
      </w:r>
    </w:p>
    <w:p w14:paraId="5B60906B" w14:textId="1306EFC2" w:rsidR="00E51503" w:rsidRDefault="00E51503" w:rsidP="00E51503">
      <w:pPr>
        <w:jc w:val="both"/>
        <w:rPr>
          <w:rFonts w:asciiTheme="majorBidi" w:hAnsiTheme="majorBidi" w:cstheme="majorBidi"/>
          <w:b/>
          <w:szCs w:val="22"/>
        </w:rPr>
      </w:pPr>
      <w:r w:rsidRPr="00182B6A">
        <w:rPr>
          <w:rFonts w:asciiTheme="majorBidi" w:hAnsiTheme="majorBidi" w:cstheme="majorBidi"/>
          <w:b/>
          <w:szCs w:val="22"/>
        </w:rPr>
        <w:t xml:space="preserve">Observation 1: </w:t>
      </w:r>
      <w:r>
        <w:rPr>
          <w:rFonts w:asciiTheme="majorBidi" w:hAnsiTheme="majorBidi" w:cstheme="majorBidi"/>
          <w:b/>
          <w:szCs w:val="22"/>
        </w:rPr>
        <w:t xml:space="preserve">Specifying the enhanced PDCCH monitoring capability based on Option 1 </w:t>
      </w:r>
      <w:r w:rsidRPr="00182B6A">
        <w:rPr>
          <w:rFonts w:asciiTheme="majorBidi" w:hAnsiTheme="majorBidi" w:cstheme="majorBidi"/>
          <w:b/>
          <w:szCs w:val="22"/>
        </w:rPr>
        <w:t>allows for increasing the number of CCEs per slot.</w:t>
      </w:r>
      <w:r>
        <w:rPr>
          <w:rFonts w:asciiTheme="majorBidi" w:hAnsiTheme="majorBidi" w:cstheme="majorBidi"/>
          <w:b/>
          <w:szCs w:val="22"/>
        </w:rPr>
        <w:t xml:space="preserve"> Hence, not only the gNB can schedule URLLC efficiently, but also it retains its full flexibility to schedule eMBB.</w:t>
      </w:r>
      <w:r w:rsidRPr="00182B6A">
        <w:rPr>
          <w:rFonts w:asciiTheme="majorBidi" w:hAnsiTheme="majorBidi" w:cstheme="majorBidi"/>
          <w:b/>
          <w:szCs w:val="22"/>
        </w:rPr>
        <w:t xml:space="preserve"> </w:t>
      </w:r>
    </w:p>
    <w:p w14:paraId="6E4BFC7E" w14:textId="77777777" w:rsidR="00A74CB9" w:rsidRDefault="00A74CB9" w:rsidP="00A74CB9">
      <w:pPr>
        <w:jc w:val="both"/>
        <w:rPr>
          <w:rFonts w:asciiTheme="majorBidi" w:hAnsiTheme="majorBidi" w:cstheme="majorBidi"/>
          <w:b/>
          <w:szCs w:val="22"/>
        </w:rPr>
      </w:pPr>
      <w:r>
        <w:rPr>
          <w:rFonts w:asciiTheme="majorBidi" w:hAnsiTheme="majorBidi" w:cstheme="majorBidi"/>
          <w:b/>
          <w:szCs w:val="22"/>
        </w:rPr>
        <w:t>Observation 2: By enforcing the per-span CCE/BD limit, Option 2 reduces the gNB’s flexibility in scheduling eMBB, which most likely scheduled on a once-per-slot basis.</w:t>
      </w:r>
    </w:p>
    <w:p w14:paraId="741D186C" w14:textId="77777777" w:rsidR="00E51503" w:rsidRDefault="00E51503" w:rsidP="00E51503">
      <w:pPr>
        <w:jc w:val="both"/>
        <w:rPr>
          <w:rFonts w:asciiTheme="majorBidi" w:hAnsiTheme="majorBidi" w:cstheme="majorBidi"/>
          <w:b/>
          <w:bCs/>
        </w:rPr>
      </w:pPr>
      <w:r>
        <w:rPr>
          <w:rFonts w:asciiTheme="majorBidi" w:hAnsiTheme="majorBidi" w:cstheme="majorBidi"/>
          <w:b/>
          <w:bCs/>
        </w:rPr>
        <w:t>Observation 3: Given the per-span CCE/BD limit of the enhanced PDCCH monitoring capability, in terms of both the UE implementation complexities and specification efforts, CCE/BD overbooking should be avoided for scheduling a UE with the Rel. 16 DCI formats. This task can be accomplished by separating the PDCCH monitoring capabilities and configurations according to Option 1.</w:t>
      </w:r>
    </w:p>
    <w:p w14:paraId="4BA4BEB1" w14:textId="77777777" w:rsidR="00E51503" w:rsidRDefault="00E51503" w:rsidP="00E51503">
      <w:pPr>
        <w:jc w:val="both"/>
        <w:rPr>
          <w:rFonts w:asciiTheme="majorBidi" w:hAnsiTheme="majorBidi" w:cstheme="majorBidi"/>
          <w:b/>
          <w:bCs/>
        </w:rPr>
      </w:pPr>
      <w:r w:rsidRPr="006D533F">
        <w:rPr>
          <w:rFonts w:asciiTheme="majorBidi" w:hAnsiTheme="majorBidi" w:cstheme="majorBidi"/>
          <w:b/>
          <w:bCs/>
        </w:rPr>
        <w:t xml:space="preserve">Proposal </w:t>
      </w:r>
      <w:r>
        <w:rPr>
          <w:rFonts w:asciiTheme="majorBidi" w:hAnsiTheme="majorBidi" w:cstheme="majorBidi"/>
          <w:b/>
          <w:bCs/>
        </w:rPr>
        <w:t>8</w:t>
      </w:r>
      <w:r w:rsidRPr="006D533F">
        <w:rPr>
          <w:rFonts w:asciiTheme="majorBidi" w:hAnsiTheme="majorBidi" w:cstheme="majorBidi"/>
          <w:b/>
          <w:bCs/>
        </w:rPr>
        <w:t xml:space="preserve">: The CCE/BD overbooking is only performed </w:t>
      </w:r>
      <w:r>
        <w:rPr>
          <w:rFonts w:asciiTheme="majorBidi" w:hAnsiTheme="majorBidi" w:cstheme="majorBidi"/>
          <w:b/>
          <w:bCs/>
        </w:rPr>
        <w:t>on the Pcell and for the PDCCH configurations that are based on the Rel. 15 UE capability.</w:t>
      </w:r>
      <w:r w:rsidRPr="006D533F">
        <w:rPr>
          <w:rFonts w:asciiTheme="majorBidi" w:hAnsiTheme="majorBidi" w:cstheme="majorBidi"/>
          <w:b/>
          <w:bCs/>
        </w:rPr>
        <w:t xml:space="preserve"> For </w:t>
      </w:r>
      <w:r>
        <w:rPr>
          <w:rFonts w:asciiTheme="majorBidi" w:hAnsiTheme="majorBidi" w:cstheme="majorBidi"/>
          <w:b/>
          <w:bCs/>
        </w:rPr>
        <w:t>the PDCCH configurations that are based on the enhanced PDCCH monitoring capability</w:t>
      </w:r>
      <w:r w:rsidRPr="006D533F">
        <w:rPr>
          <w:rFonts w:asciiTheme="majorBidi" w:hAnsiTheme="majorBidi" w:cstheme="majorBidi"/>
          <w:b/>
          <w:bCs/>
        </w:rPr>
        <w:t xml:space="preserve">, overbooking </w:t>
      </w:r>
      <w:r>
        <w:rPr>
          <w:rFonts w:asciiTheme="majorBidi" w:hAnsiTheme="majorBidi" w:cstheme="majorBidi"/>
          <w:b/>
          <w:bCs/>
        </w:rPr>
        <w:t>is not supported</w:t>
      </w:r>
      <w:r w:rsidRPr="006D533F">
        <w:rPr>
          <w:rFonts w:asciiTheme="majorBidi" w:hAnsiTheme="majorBidi" w:cstheme="majorBidi"/>
          <w:b/>
          <w:bCs/>
        </w:rPr>
        <w:t xml:space="preserve">. </w:t>
      </w:r>
      <w:r>
        <w:rPr>
          <w:rFonts w:asciiTheme="majorBidi" w:hAnsiTheme="majorBidi" w:cstheme="majorBidi"/>
          <w:b/>
          <w:bCs/>
        </w:rPr>
        <w:t>In other words CSS sets are not configured for the enhanced PDCCH monitoring capability.</w:t>
      </w:r>
    </w:p>
    <w:p w14:paraId="0D8C821E" w14:textId="77777777" w:rsidR="0092216B" w:rsidRDefault="0092216B" w:rsidP="0092216B">
      <w:pPr>
        <w:jc w:val="both"/>
        <w:rPr>
          <w:rFonts w:asciiTheme="majorBidi" w:hAnsiTheme="majorBidi" w:cstheme="majorBidi"/>
          <w:b/>
          <w:bCs/>
        </w:rPr>
      </w:pPr>
      <w:r w:rsidRPr="00C612CC">
        <w:rPr>
          <w:b/>
        </w:rPr>
        <w:t xml:space="preserve">Proposal </w:t>
      </w:r>
      <w:r>
        <w:rPr>
          <w:b/>
        </w:rPr>
        <w:t>9</w:t>
      </w:r>
      <w:r w:rsidRPr="00C612CC">
        <w:rPr>
          <w:b/>
        </w:rPr>
        <w:t>:</w:t>
      </w:r>
      <w:r>
        <w:t xml:space="preserve"> </w:t>
      </w:r>
      <w:r>
        <w:rPr>
          <w:rFonts w:asciiTheme="majorBidi" w:hAnsiTheme="majorBidi" w:cstheme="majorBidi"/>
          <w:b/>
          <w:bCs/>
        </w:rPr>
        <w:t xml:space="preserve">In Rel. 16, Option 1 that allows for separate PDCCH monitoring capability signaling and configuration for scheduling a UE with Rel. 15 and Rel. 16 DCI formats should be adopted. </w:t>
      </w:r>
    </w:p>
    <w:p w14:paraId="6268761D" w14:textId="77777777" w:rsidR="0092216B" w:rsidRDefault="0092216B" w:rsidP="0092216B">
      <w:pPr>
        <w:jc w:val="both"/>
        <w:rPr>
          <w:rFonts w:asciiTheme="majorBidi" w:hAnsiTheme="majorBidi" w:cstheme="majorBidi"/>
          <w:b/>
          <w:bCs/>
        </w:rPr>
      </w:pPr>
      <w:r>
        <w:rPr>
          <w:rFonts w:asciiTheme="majorBidi" w:hAnsiTheme="majorBidi" w:cstheme="majorBidi"/>
          <w:b/>
          <w:bCs/>
        </w:rPr>
        <w:t>Proposal 10: Under Option 1, the configuration of PDCCH monitoring occasions for monitoring Rel. 15 and Rel. 16 DCI formats are separated by using different CORESETs in case a UE is configured with two minimum processing time capabilities on the same carrier.</w:t>
      </w:r>
    </w:p>
    <w:p w14:paraId="1723ED04" w14:textId="77777777" w:rsidR="0092216B" w:rsidRDefault="0092216B" w:rsidP="0092216B">
      <w:pPr>
        <w:jc w:val="both"/>
        <w:rPr>
          <w:rFonts w:asciiTheme="majorBidi" w:hAnsiTheme="majorBidi" w:cstheme="majorBidi"/>
          <w:b/>
          <w:bCs/>
        </w:rPr>
      </w:pPr>
      <w:r w:rsidRPr="003A0938">
        <w:rPr>
          <w:rFonts w:asciiTheme="majorBidi" w:hAnsiTheme="majorBidi" w:cstheme="majorBidi"/>
          <w:b/>
          <w:bCs/>
        </w:rPr>
        <w:t xml:space="preserve">Proposal </w:t>
      </w:r>
      <w:r>
        <w:rPr>
          <w:rFonts w:asciiTheme="majorBidi" w:hAnsiTheme="majorBidi" w:cstheme="majorBidi"/>
          <w:b/>
          <w:bCs/>
        </w:rPr>
        <w:t>11</w:t>
      </w:r>
      <w:r w:rsidRPr="003A0938">
        <w:rPr>
          <w:rFonts w:asciiTheme="majorBidi" w:hAnsiTheme="majorBidi" w:cstheme="majorBidi"/>
          <w:b/>
          <w:bCs/>
        </w:rPr>
        <w:t>: The BD limits are defined separately for scheduling</w:t>
      </w:r>
      <w:r>
        <w:rPr>
          <w:rFonts w:asciiTheme="majorBidi" w:hAnsiTheme="majorBidi" w:cstheme="majorBidi"/>
          <w:b/>
          <w:bCs/>
        </w:rPr>
        <w:t xml:space="preserve"> a UE based on the Rel. 15 and Rel. 16 DCI formats</w:t>
      </w:r>
      <w:r w:rsidRPr="003A0938">
        <w:rPr>
          <w:rFonts w:asciiTheme="majorBidi" w:hAnsiTheme="majorBidi" w:cstheme="majorBidi"/>
          <w:b/>
          <w:bCs/>
        </w:rPr>
        <w:t xml:space="preserve">. </w:t>
      </w:r>
      <w:r>
        <w:rPr>
          <w:rFonts w:asciiTheme="majorBidi" w:hAnsiTheme="majorBidi" w:cstheme="majorBidi"/>
          <w:b/>
          <w:bCs/>
        </w:rPr>
        <w:t xml:space="preserve">To schedule the UE with a Rel. 15 DCI formats, the per-slot limits of Rel. 15 are kept unchanged. </w:t>
      </w:r>
    </w:p>
    <w:p w14:paraId="58487F54" w14:textId="77777777" w:rsidR="0092216B" w:rsidRPr="008E235B" w:rsidRDefault="0092216B" w:rsidP="0092216B">
      <w:pPr>
        <w:jc w:val="both"/>
        <w:rPr>
          <w:rFonts w:asciiTheme="majorBidi" w:hAnsiTheme="majorBidi" w:cstheme="majorBidi"/>
          <w:b/>
          <w:bCs/>
        </w:rPr>
      </w:pPr>
      <w:r>
        <w:rPr>
          <w:rFonts w:asciiTheme="majorBidi" w:hAnsiTheme="majorBidi" w:cstheme="majorBidi"/>
          <w:b/>
          <w:bCs/>
        </w:rPr>
        <w:t xml:space="preserve">Proposal 12: The PDCCH BD capability of a UE, i.e., </w:t>
      </w:r>
      <w:r w:rsidRPr="003A0938">
        <w:rPr>
          <w:b/>
          <w:i/>
        </w:rPr>
        <w:t>pdcch-BlindDetectionCA</w:t>
      </w:r>
      <w:r>
        <w:rPr>
          <w:b/>
        </w:rPr>
        <w:t>,</w:t>
      </w:r>
      <w:r w:rsidRPr="003A0938">
        <w:rPr>
          <w:b/>
        </w:rPr>
        <w:t xml:space="preserve"> is reported separately for </w:t>
      </w:r>
      <w:r>
        <w:rPr>
          <w:b/>
        </w:rPr>
        <w:t>monitoring the Rel. 15 and Rel. 16 DCI formats</w:t>
      </w:r>
      <w:r w:rsidRPr="003A0938">
        <w:rPr>
          <w:b/>
        </w:rPr>
        <w:t>.</w:t>
      </w:r>
      <w:r>
        <w:rPr>
          <w:rFonts w:asciiTheme="majorBidi" w:hAnsiTheme="majorBidi" w:cstheme="majorBidi"/>
          <w:b/>
          <w:bCs/>
        </w:rPr>
        <w:t xml:space="preserve"> When the UE reports the PDCCH BD capability across a number of aggregated carriers, the sum of the minimum values could be 4</w:t>
      </w:r>
      <w:r w:rsidRPr="008E235B">
        <w:rPr>
          <w:b/>
        </w:rPr>
        <w:t>.</w:t>
      </w:r>
    </w:p>
    <w:p w14:paraId="53BD83AD" w14:textId="77777777" w:rsidR="0092216B" w:rsidRDefault="0092216B" w:rsidP="0092216B">
      <w:pPr>
        <w:jc w:val="both"/>
        <w:rPr>
          <w:rFonts w:asciiTheme="majorBidi" w:hAnsiTheme="majorBidi" w:cstheme="majorBidi"/>
          <w:b/>
          <w:bCs/>
        </w:rPr>
      </w:pPr>
      <w:r>
        <w:rPr>
          <w:rFonts w:asciiTheme="majorBidi" w:hAnsiTheme="majorBidi" w:cstheme="majorBidi"/>
          <w:b/>
          <w:bCs/>
        </w:rPr>
        <w:t xml:space="preserve">Proposal 13: For scheduling a UE with a Rel. 16 DCI format, the number of BDs per span is limited. </w:t>
      </w:r>
    </w:p>
    <w:p w14:paraId="656E7520" w14:textId="77777777" w:rsidR="0092216B" w:rsidRPr="00DD1D3D" w:rsidRDefault="0092216B" w:rsidP="0092216B">
      <w:pPr>
        <w:jc w:val="both"/>
        <w:rPr>
          <w:b/>
        </w:rPr>
      </w:pPr>
      <w:r w:rsidRPr="00DD1D3D">
        <w:rPr>
          <w:b/>
        </w:rPr>
        <w:t xml:space="preserve">Proposal </w:t>
      </w:r>
      <w:r>
        <w:rPr>
          <w:b/>
        </w:rPr>
        <w:t>14</w:t>
      </w:r>
      <w:r w:rsidRPr="00DD1D3D">
        <w:rPr>
          <w:b/>
        </w:rPr>
        <w:t>: For the Rel. 16 PDCCH monitoring capability, and under Option 1, (X,Y) = (3,</w:t>
      </w:r>
      <w:r>
        <w:rPr>
          <w:b/>
        </w:rPr>
        <w:t>3</w:t>
      </w:r>
      <w:r w:rsidRPr="00DD1D3D">
        <w:rPr>
          <w:b/>
        </w:rPr>
        <w:t>) can be supported.</w:t>
      </w:r>
    </w:p>
    <w:p w14:paraId="4C55F231" w14:textId="39968740" w:rsidR="00E621B2" w:rsidRPr="0097748B" w:rsidRDefault="0092216B" w:rsidP="0097748B">
      <w:pPr>
        <w:jc w:val="both"/>
        <w:rPr>
          <w:b/>
        </w:rPr>
      </w:pPr>
      <w:r w:rsidRPr="00D11FA0">
        <w:rPr>
          <w:b/>
        </w:rPr>
        <w:t xml:space="preserve">Proposal </w:t>
      </w:r>
      <w:r>
        <w:rPr>
          <w:b/>
        </w:rPr>
        <w:t>15</w:t>
      </w:r>
      <w:r w:rsidRPr="00D11FA0">
        <w:rPr>
          <w:b/>
        </w:rPr>
        <w:t xml:space="preserve">: </w:t>
      </w:r>
      <w:r>
        <w:rPr>
          <w:b/>
        </w:rPr>
        <w:t>The number of non-overlapping CCEs per slot can be increased by a factor of 2 for each SCS as compared to Rel. 15 NR.</w:t>
      </w:r>
      <w:r w:rsidRPr="00D11FA0">
        <w:rPr>
          <w:b/>
        </w:rPr>
        <w:t xml:space="preserve"> </w:t>
      </w:r>
    </w:p>
    <w:p w14:paraId="09344613" w14:textId="4B10D5F4" w:rsidR="00FA42F3" w:rsidRDefault="00FA42F3" w:rsidP="00FA42F3">
      <w:pPr>
        <w:pStyle w:val="Heading1"/>
        <w:jc w:val="both"/>
        <w:rPr>
          <w:rFonts w:ascii="Times New Roman" w:hAnsi="Times New Roman"/>
        </w:rPr>
      </w:pPr>
      <w:r>
        <w:rPr>
          <w:rFonts w:ascii="Times New Roman" w:hAnsi="Times New Roman"/>
        </w:rPr>
        <w:t>References</w:t>
      </w:r>
    </w:p>
    <w:p w14:paraId="6CA90152" w14:textId="5251F4E1" w:rsidR="002F4F5C" w:rsidRDefault="00CF2573" w:rsidP="002F4F5C">
      <w:pPr>
        <w:jc w:val="both"/>
        <w:rPr>
          <w:b/>
          <w:lang w:eastAsia="zh-CN"/>
        </w:rPr>
      </w:pPr>
      <w:r w:rsidRPr="00E95CE2">
        <w:rPr>
          <w:rFonts w:asciiTheme="majorBidi" w:hAnsiTheme="majorBidi" w:cstheme="majorBidi"/>
          <w:b/>
        </w:rPr>
        <w:t>[1] R</w:t>
      </w:r>
      <w:r w:rsidR="00181729" w:rsidRPr="00E95CE2">
        <w:rPr>
          <w:rFonts w:asciiTheme="majorBidi" w:hAnsiTheme="majorBidi" w:cstheme="majorBidi"/>
          <w:b/>
        </w:rPr>
        <w:t>P</w:t>
      </w:r>
      <w:r w:rsidRPr="00E95CE2">
        <w:rPr>
          <w:rFonts w:asciiTheme="majorBidi" w:hAnsiTheme="majorBidi" w:cstheme="majorBidi"/>
          <w:b/>
        </w:rPr>
        <w:t>-190</w:t>
      </w:r>
      <w:r w:rsidR="00181729" w:rsidRPr="00E95CE2">
        <w:rPr>
          <w:rFonts w:asciiTheme="majorBidi" w:hAnsiTheme="majorBidi" w:cstheme="majorBidi"/>
          <w:b/>
        </w:rPr>
        <w:t>726</w:t>
      </w:r>
      <w:r w:rsidRPr="00E95CE2">
        <w:rPr>
          <w:rFonts w:asciiTheme="majorBidi" w:hAnsiTheme="majorBidi" w:cstheme="majorBidi"/>
          <w:b/>
        </w:rPr>
        <w:t xml:space="preserve">, </w:t>
      </w:r>
      <w:bookmarkStart w:id="4" w:name="OLE_LINK3"/>
      <w:r w:rsidR="00181729" w:rsidRPr="00E95CE2">
        <w:rPr>
          <w:rFonts w:asciiTheme="majorBidi" w:hAnsiTheme="majorBidi" w:cstheme="majorBidi"/>
          <w:b/>
        </w:rPr>
        <w:t>“</w:t>
      </w:r>
      <w:r w:rsidR="00181729" w:rsidRPr="00E95CE2">
        <w:rPr>
          <w:rFonts w:eastAsia="Batang"/>
          <w:b/>
          <w:lang w:eastAsia="zh-CN"/>
        </w:rPr>
        <w:t>New WID: Physical Layer Enhancements for NR</w:t>
      </w:r>
      <w:r w:rsidR="00181729" w:rsidRPr="00E95CE2">
        <w:rPr>
          <w:b/>
          <w:lang w:eastAsia="zh-CN"/>
        </w:rPr>
        <w:t xml:space="preserve"> Ultra-Reliable and Low Latency Communication</w:t>
      </w:r>
      <w:r w:rsidR="00181729" w:rsidRPr="00E95CE2">
        <w:rPr>
          <w:rFonts w:eastAsia="Batang"/>
          <w:b/>
          <w:lang w:eastAsia="zh-CN"/>
        </w:rPr>
        <w:t xml:space="preserve"> </w:t>
      </w:r>
      <w:r w:rsidR="00181729" w:rsidRPr="00E95CE2">
        <w:rPr>
          <w:b/>
          <w:lang w:eastAsia="zh-CN"/>
        </w:rPr>
        <w:t>(</w:t>
      </w:r>
      <w:r w:rsidR="00181729" w:rsidRPr="00E95CE2">
        <w:rPr>
          <w:rFonts w:eastAsia="Batang"/>
          <w:b/>
          <w:lang w:eastAsia="zh-CN"/>
        </w:rPr>
        <w:t>URLLC</w:t>
      </w:r>
      <w:r w:rsidR="00181729" w:rsidRPr="00E95CE2">
        <w:rPr>
          <w:b/>
          <w:lang w:eastAsia="zh-CN"/>
        </w:rPr>
        <w:t>)</w:t>
      </w:r>
      <w:bookmarkEnd w:id="4"/>
      <w:r w:rsidR="00181729" w:rsidRPr="00E95CE2">
        <w:rPr>
          <w:b/>
          <w:lang w:eastAsia="zh-CN"/>
        </w:rPr>
        <w:t>,” Huawei</w:t>
      </w:r>
      <w:r w:rsidR="001A2F85" w:rsidRPr="00E95CE2">
        <w:rPr>
          <w:b/>
          <w:lang w:eastAsia="zh-CN"/>
        </w:rPr>
        <w:t xml:space="preserve">, Mar, 2019, </w:t>
      </w:r>
      <w:r w:rsidR="00C8597E" w:rsidRPr="00E95CE2">
        <w:rPr>
          <w:b/>
          <w:lang w:eastAsia="zh-CN"/>
        </w:rPr>
        <w:t>Shenzhen</w:t>
      </w:r>
      <w:r w:rsidR="001A2F85" w:rsidRPr="00E95CE2">
        <w:rPr>
          <w:b/>
          <w:lang w:eastAsia="zh-CN"/>
        </w:rPr>
        <w:t xml:space="preserve"> China</w:t>
      </w:r>
    </w:p>
    <w:p w14:paraId="726A6B3F" w14:textId="208D15AF" w:rsidR="00392850" w:rsidRPr="00E95CE2" w:rsidRDefault="00392850" w:rsidP="00E95CE2">
      <w:pPr>
        <w:jc w:val="both"/>
        <w:rPr>
          <w:b/>
        </w:rPr>
      </w:pPr>
    </w:p>
    <w:p w14:paraId="1D3DAE2A" w14:textId="65138A87" w:rsidR="00C13D30" w:rsidRPr="006601A3" w:rsidRDefault="00C13D30" w:rsidP="00D254A4">
      <w:pPr>
        <w:pStyle w:val="Caption"/>
        <w:rPr>
          <w:sz w:val="22"/>
          <w:szCs w:val="22"/>
        </w:rPr>
      </w:pPr>
    </w:p>
    <w:sectPr w:rsidR="00C13D30" w:rsidRPr="006601A3"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18CD3" w14:textId="77777777" w:rsidR="00C314E8" w:rsidRDefault="00C314E8">
      <w:r>
        <w:separator/>
      </w:r>
    </w:p>
  </w:endnote>
  <w:endnote w:type="continuationSeparator" w:id="0">
    <w:p w14:paraId="465B8785" w14:textId="77777777" w:rsidR="00C314E8" w:rsidRDefault="00C314E8">
      <w:r>
        <w:continuationSeparator/>
      </w:r>
    </w:p>
  </w:endnote>
  <w:endnote w:type="continuationNotice" w:id="1">
    <w:p w14:paraId="5F9A9B87" w14:textId="77777777" w:rsidR="00C314E8" w:rsidRDefault="00C314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30050E" w:rsidRDefault="0030050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30050E" w:rsidRDefault="0030050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30050E" w:rsidRDefault="0030050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3398A" w14:textId="77777777" w:rsidR="00C314E8" w:rsidRDefault="00C314E8">
      <w:r>
        <w:separator/>
      </w:r>
    </w:p>
  </w:footnote>
  <w:footnote w:type="continuationSeparator" w:id="0">
    <w:p w14:paraId="20F72A32" w14:textId="77777777" w:rsidR="00C314E8" w:rsidRDefault="00C314E8">
      <w:r>
        <w:continuationSeparator/>
      </w:r>
    </w:p>
  </w:footnote>
  <w:footnote w:type="continuationNotice" w:id="1">
    <w:p w14:paraId="248AF877" w14:textId="77777777" w:rsidR="00C314E8" w:rsidRDefault="00C314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30050E" w:rsidRDefault="0030050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0684671"/>
    <w:multiLevelType w:val="hybridMultilevel"/>
    <w:tmpl w:val="790C49F0"/>
    <w:lvl w:ilvl="0" w:tplc="C3422C50">
      <w:start w:val="1"/>
      <w:numFmt w:val="bullet"/>
      <w:lvlText w:val=""/>
      <w:lvlJc w:val="left"/>
      <w:pPr>
        <w:tabs>
          <w:tab w:val="num" w:pos="720"/>
        </w:tabs>
        <w:ind w:left="720" w:hanging="360"/>
      </w:pPr>
      <w:rPr>
        <w:rFonts w:ascii="Symbol" w:hAnsi="Symbol" w:hint="default"/>
      </w:rPr>
    </w:lvl>
    <w:lvl w:ilvl="1" w:tplc="889AE068">
      <w:start w:val="78"/>
      <w:numFmt w:val="bullet"/>
      <w:lvlText w:val="−"/>
      <w:lvlJc w:val="left"/>
      <w:pPr>
        <w:tabs>
          <w:tab w:val="num" w:pos="1440"/>
        </w:tabs>
        <w:ind w:left="1440" w:hanging="360"/>
      </w:pPr>
      <w:rPr>
        <w:rFonts w:ascii="Calibre Regular" w:hAnsi="Calibre Regular" w:hint="default"/>
      </w:rPr>
    </w:lvl>
    <w:lvl w:ilvl="2" w:tplc="9EFE09C0">
      <w:start w:val="78"/>
      <w:numFmt w:val="bullet"/>
      <w:lvlText w:val="−"/>
      <w:lvlJc w:val="left"/>
      <w:pPr>
        <w:tabs>
          <w:tab w:val="num" w:pos="2160"/>
        </w:tabs>
        <w:ind w:left="2160" w:hanging="360"/>
      </w:pPr>
      <w:rPr>
        <w:rFonts w:ascii="Calibre Regular" w:hAnsi="Calibre Regular" w:hint="default"/>
      </w:rPr>
    </w:lvl>
    <w:lvl w:ilvl="3" w:tplc="6CC2AD2A">
      <w:start w:val="78"/>
      <w:numFmt w:val="bullet"/>
      <w:lvlText w:val="−"/>
      <w:lvlJc w:val="left"/>
      <w:pPr>
        <w:tabs>
          <w:tab w:val="num" w:pos="2880"/>
        </w:tabs>
        <w:ind w:left="2880" w:hanging="360"/>
      </w:pPr>
      <w:rPr>
        <w:rFonts w:ascii="Calibre Regular" w:hAnsi="Calibre Regular" w:hint="default"/>
      </w:rPr>
    </w:lvl>
    <w:lvl w:ilvl="4" w:tplc="B8CC2212" w:tentative="1">
      <w:start w:val="1"/>
      <w:numFmt w:val="bullet"/>
      <w:lvlText w:val=""/>
      <w:lvlJc w:val="left"/>
      <w:pPr>
        <w:tabs>
          <w:tab w:val="num" w:pos="3600"/>
        </w:tabs>
        <w:ind w:left="3600" w:hanging="360"/>
      </w:pPr>
      <w:rPr>
        <w:rFonts w:ascii="Symbol" w:hAnsi="Symbol" w:hint="default"/>
      </w:rPr>
    </w:lvl>
    <w:lvl w:ilvl="5" w:tplc="54AE2A5C" w:tentative="1">
      <w:start w:val="1"/>
      <w:numFmt w:val="bullet"/>
      <w:lvlText w:val=""/>
      <w:lvlJc w:val="left"/>
      <w:pPr>
        <w:tabs>
          <w:tab w:val="num" w:pos="4320"/>
        </w:tabs>
        <w:ind w:left="4320" w:hanging="360"/>
      </w:pPr>
      <w:rPr>
        <w:rFonts w:ascii="Symbol" w:hAnsi="Symbol" w:hint="default"/>
      </w:rPr>
    </w:lvl>
    <w:lvl w:ilvl="6" w:tplc="5A304F86" w:tentative="1">
      <w:start w:val="1"/>
      <w:numFmt w:val="bullet"/>
      <w:lvlText w:val=""/>
      <w:lvlJc w:val="left"/>
      <w:pPr>
        <w:tabs>
          <w:tab w:val="num" w:pos="5040"/>
        </w:tabs>
        <w:ind w:left="5040" w:hanging="360"/>
      </w:pPr>
      <w:rPr>
        <w:rFonts w:ascii="Symbol" w:hAnsi="Symbol" w:hint="default"/>
      </w:rPr>
    </w:lvl>
    <w:lvl w:ilvl="7" w:tplc="61FC6EBA" w:tentative="1">
      <w:start w:val="1"/>
      <w:numFmt w:val="bullet"/>
      <w:lvlText w:val=""/>
      <w:lvlJc w:val="left"/>
      <w:pPr>
        <w:tabs>
          <w:tab w:val="num" w:pos="5760"/>
        </w:tabs>
        <w:ind w:left="5760" w:hanging="360"/>
      </w:pPr>
      <w:rPr>
        <w:rFonts w:ascii="Symbol" w:hAnsi="Symbol" w:hint="default"/>
      </w:rPr>
    </w:lvl>
    <w:lvl w:ilvl="8" w:tplc="7408CBF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A11A35"/>
    <w:multiLevelType w:val="hybridMultilevel"/>
    <w:tmpl w:val="3C4CA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57BA7"/>
    <w:multiLevelType w:val="hybridMultilevel"/>
    <w:tmpl w:val="8B84A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2B01DCD"/>
    <w:multiLevelType w:val="hybridMultilevel"/>
    <w:tmpl w:val="8DF68E66"/>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148A1F56"/>
    <w:multiLevelType w:val="hybridMultilevel"/>
    <w:tmpl w:val="2F9E2E7A"/>
    <w:lvl w:ilvl="0" w:tplc="04090001">
      <w:start w:val="1"/>
      <w:numFmt w:val="bullet"/>
      <w:lvlText w:val=""/>
      <w:lvlJc w:val="left"/>
      <w:pPr>
        <w:ind w:left="720" w:hanging="360"/>
      </w:pPr>
      <w:rPr>
        <w:rFonts w:ascii="Symbol" w:hAnsi="Symbol" w:hint="default"/>
      </w:rPr>
    </w:lvl>
    <w:lvl w:ilvl="1" w:tplc="312E2BB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F3BDF"/>
    <w:multiLevelType w:val="hybridMultilevel"/>
    <w:tmpl w:val="17567D48"/>
    <w:lvl w:ilvl="0" w:tplc="877C032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E90051F4" w:tentative="1">
      <w:start w:val="1"/>
      <w:numFmt w:val="bullet"/>
      <w:lvlText w:val=""/>
      <w:lvlJc w:val="left"/>
      <w:pPr>
        <w:tabs>
          <w:tab w:val="num" w:pos="2160"/>
        </w:tabs>
        <w:ind w:left="2160" w:hanging="360"/>
      </w:pPr>
      <w:rPr>
        <w:rFonts w:ascii="Symbol" w:hAnsi="Symbol" w:hint="default"/>
      </w:rPr>
    </w:lvl>
    <w:lvl w:ilvl="3" w:tplc="64E89686" w:tentative="1">
      <w:start w:val="1"/>
      <w:numFmt w:val="bullet"/>
      <w:lvlText w:val=""/>
      <w:lvlJc w:val="left"/>
      <w:pPr>
        <w:tabs>
          <w:tab w:val="num" w:pos="2880"/>
        </w:tabs>
        <w:ind w:left="2880" w:hanging="360"/>
      </w:pPr>
      <w:rPr>
        <w:rFonts w:ascii="Symbol" w:hAnsi="Symbol" w:hint="default"/>
      </w:rPr>
    </w:lvl>
    <w:lvl w:ilvl="4" w:tplc="0644BC3A" w:tentative="1">
      <w:start w:val="1"/>
      <w:numFmt w:val="bullet"/>
      <w:lvlText w:val=""/>
      <w:lvlJc w:val="left"/>
      <w:pPr>
        <w:tabs>
          <w:tab w:val="num" w:pos="3600"/>
        </w:tabs>
        <w:ind w:left="3600" w:hanging="360"/>
      </w:pPr>
      <w:rPr>
        <w:rFonts w:ascii="Symbol" w:hAnsi="Symbol" w:hint="default"/>
      </w:rPr>
    </w:lvl>
    <w:lvl w:ilvl="5" w:tplc="9E06B8E2" w:tentative="1">
      <w:start w:val="1"/>
      <w:numFmt w:val="bullet"/>
      <w:lvlText w:val=""/>
      <w:lvlJc w:val="left"/>
      <w:pPr>
        <w:tabs>
          <w:tab w:val="num" w:pos="4320"/>
        </w:tabs>
        <w:ind w:left="4320" w:hanging="360"/>
      </w:pPr>
      <w:rPr>
        <w:rFonts w:ascii="Symbol" w:hAnsi="Symbol" w:hint="default"/>
      </w:rPr>
    </w:lvl>
    <w:lvl w:ilvl="6" w:tplc="3BB63F10" w:tentative="1">
      <w:start w:val="1"/>
      <w:numFmt w:val="bullet"/>
      <w:lvlText w:val=""/>
      <w:lvlJc w:val="left"/>
      <w:pPr>
        <w:tabs>
          <w:tab w:val="num" w:pos="5040"/>
        </w:tabs>
        <w:ind w:left="5040" w:hanging="360"/>
      </w:pPr>
      <w:rPr>
        <w:rFonts w:ascii="Symbol" w:hAnsi="Symbol" w:hint="default"/>
      </w:rPr>
    </w:lvl>
    <w:lvl w:ilvl="7" w:tplc="D6EEFE8A" w:tentative="1">
      <w:start w:val="1"/>
      <w:numFmt w:val="bullet"/>
      <w:lvlText w:val=""/>
      <w:lvlJc w:val="left"/>
      <w:pPr>
        <w:tabs>
          <w:tab w:val="num" w:pos="5760"/>
        </w:tabs>
        <w:ind w:left="5760" w:hanging="360"/>
      </w:pPr>
      <w:rPr>
        <w:rFonts w:ascii="Symbol" w:hAnsi="Symbol" w:hint="default"/>
      </w:rPr>
    </w:lvl>
    <w:lvl w:ilvl="8" w:tplc="78246D5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E4859B6"/>
    <w:multiLevelType w:val="hybridMultilevel"/>
    <w:tmpl w:val="35EAC1E4"/>
    <w:lvl w:ilvl="0" w:tplc="877C0322">
      <w:start w:val="1"/>
      <w:numFmt w:val="bullet"/>
      <w:lvlText w:val=""/>
      <w:lvlJc w:val="left"/>
      <w:pPr>
        <w:tabs>
          <w:tab w:val="num" w:pos="720"/>
        </w:tabs>
        <w:ind w:left="720" w:hanging="360"/>
      </w:pPr>
      <w:rPr>
        <w:rFonts w:ascii="Symbol" w:hAnsi="Symbol" w:hint="default"/>
      </w:rPr>
    </w:lvl>
    <w:lvl w:ilvl="1" w:tplc="AC6E700C">
      <w:start w:val="242"/>
      <w:numFmt w:val="bullet"/>
      <w:lvlText w:val="−"/>
      <w:lvlJc w:val="left"/>
      <w:pPr>
        <w:tabs>
          <w:tab w:val="num" w:pos="1440"/>
        </w:tabs>
        <w:ind w:left="1440" w:hanging="360"/>
      </w:pPr>
      <w:rPr>
        <w:rFonts w:ascii="Calibre Regular" w:hAnsi="Calibre Regular" w:hint="default"/>
      </w:rPr>
    </w:lvl>
    <w:lvl w:ilvl="2" w:tplc="E90051F4" w:tentative="1">
      <w:start w:val="1"/>
      <w:numFmt w:val="bullet"/>
      <w:lvlText w:val=""/>
      <w:lvlJc w:val="left"/>
      <w:pPr>
        <w:tabs>
          <w:tab w:val="num" w:pos="2160"/>
        </w:tabs>
        <w:ind w:left="2160" w:hanging="360"/>
      </w:pPr>
      <w:rPr>
        <w:rFonts w:ascii="Symbol" w:hAnsi="Symbol" w:hint="default"/>
      </w:rPr>
    </w:lvl>
    <w:lvl w:ilvl="3" w:tplc="64E89686" w:tentative="1">
      <w:start w:val="1"/>
      <w:numFmt w:val="bullet"/>
      <w:lvlText w:val=""/>
      <w:lvlJc w:val="left"/>
      <w:pPr>
        <w:tabs>
          <w:tab w:val="num" w:pos="2880"/>
        </w:tabs>
        <w:ind w:left="2880" w:hanging="360"/>
      </w:pPr>
      <w:rPr>
        <w:rFonts w:ascii="Symbol" w:hAnsi="Symbol" w:hint="default"/>
      </w:rPr>
    </w:lvl>
    <w:lvl w:ilvl="4" w:tplc="0644BC3A" w:tentative="1">
      <w:start w:val="1"/>
      <w:numFmt w:val="bullet"/>
      <w:lvlText w:val=""/>
      <w:lvlJc w:val="left"/>
      <w:pPr>
        <w:tabs>
          <w:tab w:val="num" w:pos="3600"/>
        </w:tabs>
        <w:ind w:left="3600" w:hanging="360"/>
      </w:pPr>
      <w:rPr>
        <w:rFonts w:ascii="Symbol" w:hAnsi="Symbol" w:hint="default"/>
      </w:rPr>
    </w:lvl>
    <w:lvl w:ilvl="5" w:tplc="9E06B8E2" w:tentative="1">
      <w:start w:val="1"/>
      <w:numFmt w:val="bullet"/>
      <w:lvlText w:val=""/>
      <w:lvlJc w:val="left"/>
      <w:pPr>
        <w:tabs>
          <w:tab w:val="num" w:pos="4320"/>
        </w:tabs>
        <w:ind w:left="4320" w:hanging="360"/>
      </w:pPr>
      <w:rPr>
        <w:rFonts w:ascii="Symbol" w:hAnsi="Symbol" w:hint="default"/>
      </w:rPr>
    </w:lvl>
    <w:lvl w:ilvl="6" w:tplc="3BB63F10" w:tentative="1">
      <w:start w:val="1"/>
      <w:numFmt w:val="bullet"/>
      <w:lvlText w:val=""/>
      <w:lvlJc w:val="left"/>
      <w:pPr>
        <w:tabs>
          <w:tab w:val="num" w:pos="5040"/>
        </w:tabs>
        <w:ind w:left="5040" w:hanging="360"/>
      </w:pPr>
      <w:rPr>
        <w:rFonts w:ascii="Symbol" w:hAnsi="Symbol" w:hint="default"/>
      </w:rPr>
    </w:lvl>
    <w:lvl w:ilvl="7" w:tplc="D6EEFE8A" w:tentative="1">
      <w:start w:val="1"/>
      <w:numFmt w:val="bullet"/>
      <w:lvlText w:val=""/>
      <w:lvlJc w:val="left"/>
      <w:pPr>
        <w:tabs>
          <w:tab w:val="num" w:pos="5760"/>
        </w:tabs>
        <w:ind w:left="5760" w:hanging="360"/>
      </w:pPr>
      <w:rPr>
        <w:rFonts w:ascii="Symbol" w:hAnsi="Symbol" w:hint="default"/>
      </w:rPr>
    </w:lvl>
    <w:lvl w:ilvl="8" w:tplc="78246D5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2E141C2"/>
    <w:multiLevelType w:val="hybridMultilevel"/>
    <w:tmpl w:val="BD281C6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24080FDA"/>
    <w:multiLevelType w:val="hybridMultilevel"/>
    <w:tmpl w:val="AA063618"/>
    <w:lvl w:ilvl="0" w:tplc="064043A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52D95"/>
    <w:multiLevelType w:val="hybridMultilevel"/>
    <w:tmpl w:val="D974C428"/>
    <w:lvl w:ilvl="0" w:tplc="E4F07D7C">
      <w:start w:val="1"/>
      <w:numFmt w:val="bullet"/>
      <w:lvlText w:val=""/>
      <w:lvlJc w:val="left"/>
      <w:pPr>
        <w:tabs>
          <w:tab w:val="num" w:pos="720"/>
        </w:tabs>
        <w:ind w:left="720" w:hanging="360"/>
      </w:pPr>
      <w:rPr>
        <w:rFonts w:ascii="Symbol" w:hAnsi="Symbol" w:hint="default"/>
      </w:rPr>
    </w:lvl>
    <w:lvl w:ilvl="1" w:tplc="5B14A194" w:tentative="1">
      <w:start w:val="1"/>
      <w:numFmt w:val="bullet"/>
      <w:lvlText w:val=""/>
      <w:lvlJc w:val="left"/>
      <w:pPr>
        <w:tabs>
          <w:tab w:val="num" w:pos="1440"/>
        </w:tabs>
        <w:ind w:left="1440" w:hanging="360"/>
      </w:pPr>
      <w:rPr>
        <w:rFonts w:ascii="Symbol" w:hAnsi="Symbol" w:hint="default"/>
      </w:rPr>
    </w:lvl>
    <w:lvl w:ilvl="2" w:tplc="4AD65080" w:tentative="1">
      <w:start w:val="1"/>
      <w:numFmt w:val="bullet"/>
      <w:lvlText w:val=""/>
      <w:lvlJc w:val="left"/>
      <w:pPr>
        <w:tabs>
          <w:tab w:val="num" w:pos="2160"/>
        </w:tabs>
        <w:ind w:left="2160" w:hanging="360"/>
      </w:pPr>
      <w:rPr>
        <w:rFonts w:ascii="Symbol" w:hAnsi="Symbol" w:hint="default"/>
      </w:rPr>
    </w:lvl>
    <w:lvl w:ilvl="3" w:tplc="A21221C8" w:tentative="1">
      <w:start w:val="1"/>
      <w:numFmt w:val="bullet"/>
      <w:lvlText w:val=""/>
      <w:lvlJc w:val="left"/>
      <w:pPr>
        <w:tabs>
          <w:tab w:val="num" w:pos="2880"/>
        </w:tabs>
        <w:ind w:left="2880" w:hanging="360"/>
      </w:pPr>
      <w:rPr>
        <w:rFonts w:ascii="Symbol" w:hAnsi="Symbol" w:hint="default"/>
      </w:rPr>
    </w:lvl>
    <w:lvl w:ilvl="4" w:tplc="398E6CB8" w:tentative="1">
      <w:start w:val="1"/>
      <w:numFmt w:val="bullet"/>
      <w:lvlText w:val=""/>
      <w:lvlJc w:val="left"/>
      <w:pPr>
        <w:tabs>
          <w:tab w:val="num" w:pos="3600"/>
        </w:tabs>
        <w:ind w:left="3600" w:hanging="360"/>
      </w:pPr>
      <w:rPr>
        <w:rFonts w:ascii="Symbol" w:hAnsi="Symbol" w:hint="default"/>
      </w:rPr>
    </w:lvl>
    <w:lvl w:ilvl="5" w:tplc="4DCCF384" w:tentative="1">
      <w:start w:val="1"/>
      <w:numFmt w:val="bullet"/>
      <w:lvlText w:val=""/>
      <w:lvlJc w:val="left"/>
      <w:pPr>
        <w:tabs>
          <w:tab w:val="num" w:pos="4320"/>
        </w:tabs>
        <w:ind w:left="4320" w:hanging="360"/>
      </w:pPr>
      <w:rPr>
        <w:rFonts w:ascii="Symbol" w:hAnsi="Symbol" w:hint="default"/>
      </w:rPr>
    </w:lvl>
    <w:lvl w:ilvl="6" w:tplc="9782E850" w:tentative="1">
      <w:start w:val="1"/>
      <w:numFmt w:val="bullet"/>
      <w:lvlText w:val=""/>
      <w:lvlJc w:val="left"/>
      <w:pPr>
        <w:tabs>
          <w:tab w:val="num" w:pos="5040"/>
        </w:tabs>
        <w:ind w:left="5040" w:hanging="360"/>
      </w:pPr>
      <w:rPr>
        <w:rFonts w:ascii="Symbol" w:hAnsi="Symbol" w:hint="default"/>
      </w:rPr>
    </w:lvl>
    <w:lvl w:ilvl="7" w:tplc="F8EADED8" w:tentative="1">
      <w:start w:val="1"/>
      <w:numFmt w:val="bullet"/>
      <w:lvlText w:val=""/>
      <w:lvlJc w:val="left"/>
      <w:pPr>
        <w:tabs>
          <w:tab w:val="num" w:pos="5760"/>
        </w:tabs>
        <w:ind w:left="5760" w:hanging="360"/>
      </w:pPr>
      <w:rPr>
        <w:rFonts w:ascii="Symbol" w:hAnsi="Symbol" w:hint="default"/>
      </w:rPr>
    </w:lvl>
    <w:lvl w:ilvl="8" w:tplc="AD2881A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AE84223"/>
    <w:multiLevelType w:val="hybridMultilevel"/>
    <w:tmpl w:val="25AEC87E"/>
    <w:lvl w:ilvl="0" w:tplc="A940829E">
      <w:start w:val="1"/>
      <w:numFmt w:val="bullet"/>
      <w:lvlText w:val=""/>
      <w:lvlJc w:val="left"/>
      <w:pPr>
        <w:tabs>
          <w:tab w:val="num" w:pos="720"/>
        </w:tabs>
        <w:ind w:left="720" w:hanging="360"/>
      </w:pPr>
      <w:rPr>
        <w:rFonts w:ascii="Symbol" w:hAnsi="Symbol" w:hint="default"/>
      </w:rPr>
    </w:lvl>
    <w:lvl w:ilvl="1" w:tplc="7BA60B82">
      <w:start w:val="242"/>
      <w:numFmt w:val="bullet"/>
      <w:lvlText w:val="−"/>
      <w:lvlJc w:val="left"/>
      <w:pPr>
        <w:tabs>
          <w:tab w:val="num" w:pos="1440"/>
        </w:tabs>
        <w:ind w:left="1440" w:hanging="360"/>
      </w:pPr>
      <w:rPr>
        <w:rFonts w:ascii="Calibre Regular" w:hAnsi="Calibre Regular" w:hint="default"/>
      </w:rPr>
    </w:lvl>
    <w:lvl w:ilvl="2" w:tplc="EEF24DDA">
      <w:start w:val="242"/>
      <w:numFmt w:val="bullet"/>
      <w:lvlText w:val="−"/>
      <w:lvlJc w:val="left"/>
      <w:pPr>
        <w:tabs>
          <w:tab w:val="num" w:pos="2160"/>
        </w:tabs>
        <w:ind w:left="2160" w:hanging="360"/>
      </w:pPr>
      <w:rPr>
        <w:rFonts w:ascii="Calibre Regular" w:hAnsi="Calibre Regular" w:hint="default"/>
      </w:rPr>
    </w:lvl>
    <w:lvl w:ilvl="3" w:tplc="327AE7B4" w:tentative="1">
      <w:start w:val="1"/>
      <w:numFmt w:val="bullet"/>
      <w:lvlText w:val=""/>
      <w:lvlJc w:val="left"/>
      <w:pPr>
        <w:tabs>
          <w:tab w:val="num" w:pos="2880"/>
        </w:tabs>
        <w:ind w:left="2880" w:hanging="360"/>
      </w:pPr>
      <w:rPr>
        <w:rFonts w:ascii="Symbol" w:hAnsi="Symbol" w:hint="default"/>
      </w:rPr>
    </w:lvl>
    <w:lvl w:ilvl="4" w:tplc="AAB8F8BE" w:tentative="1">
      <w:start w:val="1"/>
      <w:numFmt w:val="bullet"/>
      <w:lvlText w:val=""/>
      <w:lvlJc w:val="left"/>
      <w:pPr>
        <w:tabs>
          <w:tab w:val="num" w:pos="3600"/>
        </w:tabs>
        <w:ind w:left="3600" w:hanging="360"/>
      </w:pPr>
      <w:rPr>
        <w:rFonts w:ascii="Symbol" w:hAnsi="Symbol" w:hint="default"/>
      </w:rPr>
    </w:lvl>
    <w:lvl w:ilvl="5" w:tplc="2A5EB400" w:tentative="1">
      <w:start w:val="1"/>
      <w:numFmt w:val="bullet"/>
      <w:lvlText w:val=""/>
      <w:lvlJc w:val="left"/>
      <w:pPr>
        <w:tabs>
          <w:tab w:val="num" w:pos="4320"/>
        </w:tabs>
        <w:ind w:left="4320" w:hanging="360"/>
      </w:pPr>
      <w:rPr>
        <w:rFonts w:ascii="Symbol" w:hAnsi="Symbol" w:hint="default"/>
      </w:rPr>
    </w:lvl>
    <w:lvl w:ilvl="6" w:tplc="FF5E54EE" w:tentative="1">
      <w:start w:val="1"/>
      <w:numFmt w:val="bullet"/>
      <w:lvlText w:val=""/>
      <w:lvlJc w:val="left"/>
      <w:pPr>
        <w:tabs>
          <w:tab w:val="num" w:pos="5040"/>
        </w:tabs>
        <w:ind w:left="5040" w:hanging="360"/>
      </w:pPr>
      <w:rPr>
        <w:rFonts w:ascii="Symbol" w:hAnsi="Symbol" w:hint="default"/>
      </w:rPr>
    </w:lvl>
    <w:lvl w:ilvl="7" w:tplc="9286C7DC" w:tentative="1">
      <w:start w:val="1"/>
      <w:numFmt w:val="bullet"/>
      <w:lvlText w:val=""/>
      <w:lvlJc w:val="left"/>
      <w:pPr>
        <w:tabs>
          <w:tab w:val="num" w:pos="5760"/>
        </w:tabs>
        <w:ind w:left="5760" w:hanging="360"/>
      </w:pPr>
      <w:rPr>
        <w:rFonts w:ascii="Symbol" w:hAnsi="Symbol" w:hint="default"/>
      </w:rPr>
    </w:lvl>
    <w:lvl w:ilvl="8" w:tplc="D86C4B1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3A1E56A1"/>
    <w:multiLevelType w:val="hybridMultilevel"/>
    <w:tmpl w:val="7304D0DA"/>
    <w:lvl w:ilvl="0" w:tplc="A940829E">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EEF24DDA">
      <w:start w:val="242"/>
      <w:numFmt w:val="bullet"/>
      <w:lvlText w:val="−"/>
      <w:lvlJc w:val="left"/>
      <w:pPr>
        <w:tabs>
          <w:tab w:val="num" w:pos="2160"/>
        </w:tabs>
        <w:ind w:left="2160" w:hanging="360"/>
      </w:pPr>
      <w:rPr>
        <w:rFonts w:ascii="Calibre Regular" w:hAnsi="Calibre Regular" w:hint="default"/>
      </w:rPr>
    </w:lvl>
    <w:lvl w:ilvl="3" w:tplc="327AE7B4" w:tentative="1">
      <w:start w:val="1"/>
      <w:numFmt w:val="bullet"/>
      <w:lvlText w:val=""/>
      <w:lvlJc w:val="left"/>
      <w:pPr>
        <w:tabs>
          <w:tab w:val="num" w:pos="2880"/>
        </w:tabs>
        <w:ind w:left="2880" w:hanging="360"/>
      </w:pPr>
      <w:rPr>
        <w:rFonts w:ascii="Symbol" w:hAnsi="Symbol" w:hint="default"/>
      </w:rPr>
    </w:lvl>
    <w:lvl w:ilvl="4" w:tplc="AAB8F8BE" w:tentative="1">
      <w:start w:val="1"/>
      <w:numFmt w:val="bullet"/>
      <w:lvlText w:val=""/>
      <w:lvlJc w:val="left"/>
      <w:pPr>
        <w:tabs>
          <w:tab w:val="num" w:pos="3600"/>
        </w:tabs>
        <w:ind w:left="3600" w:hanging="360"/>
      </w:pPr>
      <w:rPr>
        <w:rFonts w:ascii="Symbol" w:hAnsi="Symbol" w:hint="default"/>
      </w:rPr>
    </w:lvl>
    <w:lvl w:ilvl="5" w:tplc="2A5EB400" w:tentative="1">
      <w:start w:val="1"/>
      <w:numFmt w:val="bullet"/>
      <w:lvlText w:val=""/>
      <w:lvlJc w:val="left"/>
      <w:pPr>
        <w:tabs>
          <w:tab w:val="num" w:pos="4320"/>
        </w:tabs>
        <w:ind w:left="4320" w:hanging="360"/>
      </w:pPr>
      <w:rPr>
        <w:rFonts w:ascii="Symbol" w:hAnsi="Symbol" w:hint="default"/>
      </w:rPr>
    </w:lvl>
    <w:lvl w:ilvl="6" w:tplc="FF5E54EE" w:tentative="1">
      <w:start w:val="1"/>
      <w:numFmt w:val="bullet"/>
      <w:lvlText w:val=""/>
      <w:lvlJc w:val="left"/>
      <w:pPr>
        <w:tabs>
          <w:tab w:val="num" w:pos="5040"/>
        </w:tabs>
        <w:ind w:left="5040" w:hanging="360"/>
      </w:pPr>
      <w:rPr>
        <w:rFonts w:ascii="Symbol" w:hAnsi="Symbol" w:hint="default"/>
      </w:rPr>
    </w:lvl>
    <w:lvl w:ilvl="7" w:tplc="9286C7DC" w:tentative="1">
      <w:start w:val="1"/>
      <w:numFmt w:val="bullet"/>
      <w:lvlText w:val=""/>
      <w:lvlJc w:val="left"/>
      <w:pPr>
        <w:tabs>
          <w:tab w:val="num" w:pos="5760"/>
        </w:tabs>
        <w:ind w:left="5760" w:hanging="360"/>
      </w:pPr>
      <w:rPr>
        <w:rFonts w:ascii="Symbol" w:hAnsi="Symbol" w:hint="default"/>
      </w:rPr>
    </w:lvl>
    <w:lvl w:ilvl="8" w:tplc="D86C4B1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015A80"/>
    <w:multiLevelType w:val="hybridMultilevel"/>
    <w:tmpl w:val="73285794"/>
    <w:lvl w:ilvl="0" w:tplc="064043A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B3615"/>
    <w:multiLevelType w:val="hybridMultilevel"/>
    <w:tmpl w:val="FB1C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E25ACD"/>
    <w:multiLevelType w:val="hybridMultilevel"/>
    <w:tmpl w:val="2B969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F7C5F"/>
    <w:multiLevelType w:val="hybridMultilevel"/>
    <w:tmpl w:val="27101750"/>
    <w:lvl w:ilvl="0" w:tplc="CDFCF5C6">
      <w:start w:val="1"/>
      <w:numFmt w:val="bullet"/>
      <w:lvlText w:val=""/>
      <w:lvlJc w:val="left"/>
      <w:pPr>
        <w:tabs>
          <w:tab w:val="num" w:pos="720"/>
        </w:tabs>
        <w:ind w:left="720" w:hanging="360"/>
      </w:pPr>
      <w:rPr>
        <w:rFonts w:ascii="Symbol" w:hAnsi="Symbol" w:hint="default"/>
      </w:rPr>
    </w:lvl>
    <w:lvl w:ilvl="1" w:tplc="4D145E12" w:tentative="1">
      <w:start w:val="1"/>
      <w:numFmt w:val="bullet"/>
      <w:lvlText w:val=""/>
      <w:lvlJc w:val="left"/>
      <w:pPr>
        <w:tabs>
          <w:tab w:val="num" w:pos="1440"/>
        </w:tabs>
        <w:ind w:left="1440" w:hanging="360"/>
      </w:pPr>
      <w:rPr>
        <w:rFonts w:ascii="Symbol" w:hAnsi="Symbol" w:hint="default"/>
      </w:rPr>
    </w:lvl>
    <w:lvl w:ilvl="2" w:tplc="5BBA6DA6" w:tentative="1">
      <w:start w:val="1"/>
      <w:numFmt w:val="bullet"/>
      <w:lvlText w:val=""/>
      <w:lvlJc w:val="left"/>
      <w:pPr>
        <w:tabs>
          <w:tab w:val="num" w:pos="2160"/>
        </w:tabs>
        <w:ind w:left="2160" w:hanging="360"/>
      </w:pPr>
      <w:rPr>
        <w:rFonts w:ascii="Symbol" w:hAnsi="Symbol" w:hint="default"/>
      </w:rPr>
    </w:lvl>
    <w:lvl w:ilvl="3" w:tplc="0B7E51E0" w:tentative="1">
      <w:start w:val="1"/>
      <w:numFmt w:val="bullet"/>
      <w:lvlText w:val=""/>
      <w:lvlJc w:val="left"/>
      <w:pPr>
        <w:tabs>
          <w:tab w:val="num" w:pos="2880"/>
        </w:tabs>
        <w:ind w:left="2880" w:hanging="360"/>
      </w:pPr>
      <w:rPr>
        <w:rFonts w:ascii="Symbol" w:hAnsi="Symbol" w:hint="default"/>
      </w:rPr>
    </w:lvl>
    <w:lvl w:ilvl="4" w:tplc="4F9ED2C4" w:tentative="1">
      <w:start w:val="1"/>
      <w:numFmt w:val="bullet"/>
      <w:lvlText w:val=""/>
      <w:lvlJc w:val="left"/>
      <w:pPr>
        <w:tabs>
          <w:tab w:val="num" w:pos="3600"/>
        </w:tabs>
        <w:ind w:left="3600" w:hanging="360"/>
      </w:pPr>
      <w:rPr>
        <w:rFonts w:ascii="Symbol" w:hAnsi="Symbol" w:hint="default"/>
      </w:rPr>
    </w:lvl>
    <w:lvl w:ilvl="5" w:tplc="41129F64" w:tentative="1">
      <w:start w:val="1"/>
      <w:numFmt w:val="bullet"/>
      <w:lvlText w:val=""/>
      <w:lvlJc w:val="left"/>
      <w:pPr>
        <w:tabs>
          <w:tab w:val="num" w:pos="4320"/>
        </w:tabs>
        <w:ind w:left="4320" w:hanging="360"/>
      </w:pPr>
      <w:rPr>
        <w:rFonts w:ascii="Symbol" w:hAnsi="Symbol" w:hint="default"/>
      </w:rPr>
    </w:lvl>
    <w:lvl w:ilvl="6" w:tplc="330CA404" w:tentative="1">
      <w:start w:val="1"/>
      <w:numFmt w:val="bullet"/>
      <w:lvlText w:val=""/>
      <w:lvlJc w:val="left"/>
      <w:pPr>
        <w:tabs>
          <w:tab w:val="num" w:pos="5040"/>
        </w:tabs>
        <w:ind w:left="5040" w:hanging="360"/>
      </w:pPr>
      <w:rPr>
        <w:rFonts w:ascii="Symbol" w:hAnsi="Symbol" w:hint="default"/>
      </w:rPr>
    </w:lvl>
    <w:lvl w:ilvl="7" w:tplc="9A6E14DA" w:tentative="1">
      <w:start w:val="1"/>
      <w:numFmt w:val="bullet"/>
      <w:lvlText w:val=""/>
      <w:lvlJc w:val="left"/>
      <w:pPr>
        <w:tabs>
          <w:tab w:val="num" w:pos="5760"/>
        </w:tabs>
        <w:ind w:left="5760" w:hanging="360"/>
      </w:pPr>
      <w:rPr>
        <w:rFonts w:ascii="Symbol" w:hAnsi="Symbol" w:hint="default"/>
      </w:rPr>
    </w:lvl>
    <w:lvl w:ilvl="8" w:tplc="769248C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6F94B9E"/>
    <w:multiLevelType w:val="hybridMultilevel"/>
    <w:tmpl w:val="6268B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824D56"/>
    <w:multiLevelType w:val="hybridMultilevel"/>
    <w:tmpl w:val="4B80D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A22E7C"/>
    <w:multiLevelType w:val="hybridMultilevel"/>
    <w:tmpl w:val="CD9EB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DC0A28"/>
    <w:multiLevelType w:val="hybridMultilevel"/>
    <w:tmpl w:val="A7342104"/>
    <w:lvl w:ilvl="0" w:tplc="064043A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17"/>
    <w:lvlOverride w:ilvl="0">
      <w:startOverride w:val="1"/>
    </w:lvlOverride>
  </w:num>
  <w:num w:numId="4">
    <w:abstractNumId w:val="20"/>
  </w:num>
  <w:num w:numId="5">
    <w:abstractNumId w:val="8"/>
  </w:num>
  <w:num w:numId="6">
    <w:abstractNumId w:val="19"/>
  </w:num>
  <w:num w:numId="7">
    <w:abstractNumId w:val="5"/>
  </w:num>
  <w:num w:numId="8">
    <w:abstractNumId w:val="12"/>
  </w:num>
  <w:num w:numId="9">
    <w:abstractNumId w:val="9"/>
  </w:num>
  <w:num w:numId="10">
    <w:abstractNumId w:val="21"/>
  </w:num>
  <w:num w:numId="11">
    <w:abstractNumId w:val="7"/>
  </w:num>
  <w:num w:numId="12">
    <w:abstractNumId w:val="13"/>
  </w:num>
  <w:num w:numId="13">
    <w:abstractNumId w:val="16"/>
  </w:num>
  <w:num w:numId="14">
    <w:abstractNumId w:val="24"/>
  </w:num>
  <w:num w:numId="15">
    <w:abstractNumId w:val="10"/>
  </w:num>
  <w:num w:numId="16">
    <w:abstractNumId w:val="11"/>
  </w:num>
  <w:num w:numId="17">
    <w:abstractNumId w:val="25"/>
  </w:num>
  <w:num w:numId="18">
    <w:abstractNumId w:val="18"/>
  </w:num>
  <w:num w:numId="19">
    <w:abstractNumId w:val="23"/>
  </w:num>
  <w:num w:numId="20">
    <w:abstractNumId w:val="1"/>
  </w:num>
  <w:num w:numId="21">
    <w:abstractNumId w:val="2"/>
  </w:num>
  <w:num w:numId="22">
    <w:abstractNumId w:val="6"/>
  </w:num>
  <w:num w:numId="23">
    <w:abstractNumId w:val="22"/>
  </w:num>
  <w:num w:numId="24">
    <w:abstractNumId w:val="15"/>
  </w:num>
  <w:num w:numId="25">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ECA"/>
    <w:rsid w:val="00000F7F"/>
    <w:rsid w:val="00001298"/>
    <w:rsid w:val="00001375"/>
    <w:rsid w:val="00001F79"/>
    <w:rsid w:val="00001FC3"/>
    <w:rsid w:val="00002375"/>
    <w:rsid w:val="000024E0"/>
    <w:rsid w:val="0000270A"/>
    <w:rsid w:val="000027E7"/>
    <w:rsid w:val="00002A8E"/>
    <w:rsid w:val="00003131"/>
    <w:rsid w:val="000037FB"/>
    <w:rsid w:val="00003B9D"/>
    <w:rsid w:val="00003EC1"/>
    <w:rsid w:val="00003EF4"/>
    <w:rsid w:val="0000403F"/>
    <w:rsid w:val="00004851"/>
    <w:rsid w:val="00004885"/>
    <w:rsid w:val="00004D8C"/>
    <w:rsid w:val="00004DCB"/>
    <w:rsid w:val="000051F0"/>
    <w:rsid w:val="0000553B"/>
    <w:rsid w:val="00005A9E"/>
    <w:rsid w:val="000063BC"/>
    <w:rsid w:val="00006780"/>
    <w:rsid w:val="00006C7A"/>
    <w:rsid w:val="00007304"/>
    <w:rsid w:val="0000738D"/>
    <w:rsid w:val="00007495"/>
    <w:rsid w:val="0000792C"/>
    <w:rsid w:val="00007B4B"/>
    <w:rsid w:val="000101EF"/>
    <w:rsid w:val="00010CFA"/>
    <w:rsid w:val="00010E97"/>
    <w:rsid w:val="00010FD1"/>
    <w:rsid w:val="0001117C"/>
    <w:rsid w:val="000124D1"/>
    <w:rsid w:val="00012B5F"/>
    <w:rsid w:val="00012C17"/>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17982"/>
    <w:rsid w:val="0002002A"/>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303"/>
    <w:rsid w:val="000237A2"/>
    <w:rsid w:val="00023967"/>
    <w:rsid w:val="00023C29"/>
    <w:rsid w:val="00023DD0"/>
    <w:rsid w:val="000244F7"/>
    <w:rsid w:val="00024D64"/>
    <w:rsid w:val="00024E37"/>
    <w:rsid w:val="0002506A"/>
    <w:rsid w:val="000255A1"/>
    <w:rsid w:val="000258DD"/>
    <w:rsid w:val="0002591B"/>
    <w:rsid w:val="00025ABD"/>
    <w:rsid w:val="00025B86"/>
    <w:rsid w:val="000266AE"/>
    <w:rsid w:val="00026905"/>
    <w:rsid w:val="00026977"/>
    <w:rsid w:val="00026B7D"/>
    <w:rsid w:val="00026EF9"/>
    <w:rsid w:val="00027333"/>
    <w:rsid w:val="000273DF"/>
    <w:rsid w:val="00027C2B"/>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67"/>
    <w:rsid w:val="00036199"/>
    <w:rsid w:val="00036480"/>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8B7"/>
    <w:rsid w:val="00046CD6"/>
    <w:rsid w:val="00046CE4"/>
    <w:rsid w:val="00046D24"/>
    <w:rsid w:val="00046E6F"/>
    <w:rsid w:val="00046F9A"/>
    <w:rsid w:val="000472D2"/>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F3C"/>
    <w:rsid w:val="00053F7B"/>
    <w:rsid w:val="0005456E"/>
    <w:rsid w:val="00054ACE"/>
    <w:rsid w:val="00054AE4"/>
    <w:rsid w:val="00054DAB"/>
    <w:rsid w:val="00054F19"/>
    <w:rsid w:val="0005504C"/>
    <w:rsid w:val="00055873"/>
    <w:rsid w:val="000558DB"/>
    <w:rsid w:val="00055B8E"/>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6E1"/>
    <w:rsid w:val="00061BDC"/>
    <w:rsid w:val="00061BF7"/>
    <w:rsid w:val="00061D2A"/>
    <w:rsid w:val="000621A9"/>
    <w:rsid w:val="0006263A"/>
    <w:rsid w:val="00062A41"/>
    <w:rsid w:val="00062C7E"/>
    <w:rsid w:val="00062D9A"/>
    <w:rsid w:val="000631CE"/>
    <w:rsid w:val="00063226"/>
    <w:rsid w:val="00063485"/>
    <w:rsid w:val="00063F57"/>
    <w:rsid w:val="00064461"/>
    <w:rsid w:val="000646B1"/>
    <w:rsid w:val="0006480B"/>
    <w:rsid w:val="00064A2B"/>
    <w:rsid w:val="00064B12"/>
    <w:rsid w:val="00064B46"/>
    <w:rsid w:val="00065016"/>
    <w:rsid w:val="00065031"/>
    <w:rsid w:val="0006549C"/>
    <w:rsid w:val="000659DD"/>
    <w:rsid w:val="00065D64"/>
    <w:rsid w:val="00065D68"/>
    <w:rsid w:val="000667D1"/>
    <w:rsid w:val="00066F75"/>
    <w:rsid w:val="00067087"/>
    <w:rsid w:val="0006709E"/>
    <w:rsid w:val="0006739D"/>
    <w:rsid w:val="0006777C"/>
    <w:rsid w:val="00067EC6"/>
    <w:rsid w:val="00067FE2"/>
    <w:rsid w:val="00070192"/>
    <w:rsid w:val="0007020C"/>
    <w:rsid w:val="0007077B"/>
    <w:rsid w:val="0007118F"/>
    <w:rsid w:val="00071223"/>
    <w:rsid w:val="0007162A"/>
    <w:rsid w:val="00071698"/>
    <w:rsid w:val="000716FB"/>
    <w:rsid w:val="00071AB0"/>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0D6"/>
    <w:rsid w:val="0007631D"/>
    <w:rsid w:val="00076408"/>
    <w:rsid w:val="000764A8"/>
    <w:rsid w:val="00076608"/>
    <w:rsid w:val="00076759"/>
    <w:rsid w:val="00076C6C"/>
    <w:rsid w:val="00077073"/>
    <w:rsid w:val="00077995"/>
    <w:rsid w:val="0008022A"/>
    <w:rsid w:val="00080418"/>
    <w:rsid w:val="000805B2"/>
    <w:rsid w:val="000807F6"/>
    <w:rsid w:val="00080D74"/>
    <w:rsid w:val="00080DAD"/>
    <w:rsid w:val="00081359"/>
    <w:rsid w:val="00081383"/>
    <w:rsid w:val="000826FF"/>
    <w:rsid w:val="00082A49"/>
    <w:rsid w:val="00082C90"/>
    <w:rsid w:val="000830B9"/>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6EB"/>
    <w:rsid w:val="0008782D"/>
    <w:rsid w:val="00087965"/>
    <w:rsid w:val="00087E29"/>
    <w:rsid w:val="0009037D"/>
    <w:rsid w:val="00090394"/>
    <w:rsid w:val="00090573"/>
    <w:rsid w:val="00090FC9"/>
    <w:rsid w:val="00091C98"/>
    <w:rsid w:val="00091EFF"/>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BBF"/>
    <w:rsid w:val="00095F53"/>
    <w:rsid w:val="000962B0"/>
    <w:rsid w:val="0009653B"/>
    <w:rsid w:val="000968D8"/>
    <w:rsid w:val="0009709B"/>
    <w:rsid w:val="000970D0"/>
    <w:rsid w:val="0009720E"/>
    <w:rsid w:val="000979F0"/>
    <w:rsid w:val="00097AE8"/>
    <w:rsid w:val="00097CB9"/>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06B"/>
    <w:rsid w:val="000A44E5"/>
    <w:rsid w:val="000A49DE"/>
    <w:rsid w:val="000A4B74"/>
    <w:rsid w:val="000A4FEA"/>
    <w:rsid w:val="000A52F5"/>
    <w:rsid w:val="000A5469"/>
    <w:rsid w:val="000A54DF"/>
    <w:rsid w:val="000A54FF"/>
    <w:rsid w:val="000A61CB"/>
    <w:rsid w:val="000A6252"/>
    <w:rsid w:val="000A64D8"/>
    <w:rsid w:val="000A6723"/>
    <w:rsid w:val="000A6788"/>
    <w:rsid w:val="000A68A9"/>
    <w:rsid w:val="000A6AC6"/>
    <w:rsid w:val="000A6CFE"/>
    <w:rsid w:val="000A6F12"/>
    <w:rsid w:val="000A7C88"/>
    <w:rsid w:val="000B02C2"/>
    <w:rsid w:val="000B0761"/>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57E3"/>
    <w:rsid w:val="000B6030"/>
    <w:rsid w:val="000B65BE"/>
    <w:rsid w:val="000B6BDF"/>
    <w:rsid w:val="000B71B6"/>
    <w:rsid w:val="000B7776"/>
    <w:rsid w:val="000B7B2B"/>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54"/>
    <w:rsid w:val="000C69F8"/>
    <w:rsid w:val="000C6A01"/>
    <w:rsid w:val="000C6C9C"/>
    <w:rsid w:val="000C71D9"/>
    <w:rsid w:val="000D0153"/>
    <w:rsid w:val="000D037E"/>
    <w:rsid w:val="000D0669"/>
    <w:rsid w:val="000D0A0F"/>
    <w:rsid w:val="000D0AB8"/>
    <w:rsid w:val="000D0BCC"/>
    <w:rsid w:val="000D0F9A"/>
    <w:rsid w:val="000D10A8"/>
    <w:rsid w:val="000D1124"/>
    <w:rsid w:val="000D148D"/>
    <w:rsid w:val="000D14EB"/>
    <w:rsid w:val="000D159C"/>
    <w:rsid w:val="000D1610"/>
    <w:rsid w:val="000D2007"/>
    <w:rsid w:val="000D206C"/>
    <w:rsid w:val="000D2185"/>
    <w:rsid w:val="000D2642"/>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113"/>
    <w:rsid w:val="000D7268"/>
    <w:rsid w:val="000D7783"/>
    <w:rsid w:val="000D7BE0"/>
    <w:rsid w:val="000D7CB1"/>
    <w:rsid w:val="000D7D16"/>
    <w:rsid w:val="000E011D"/>
    <w:rsid w:val="000E03CF"/>
    <w:rsid w:val="000E0D89"/>
    <w:rsid w:val="000E1003"/>
    <w:rsid w:val="000E14B9"/>
    <w:rsid w:val="000E182B"/>
    <w:rsid w:val="000E1E8E"/>
    <w:rsid w:val="000E2787"/>
    <w:rsid w:val="000E279B"/>
    <w:rsid w:val="000E3075"/>
    <w:rsid w:val="000E331F"/>
    <w:rsid w:val="000E3358"/>
    <w:rsid w:val="000E3665"/>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197"/>
    <w:rsid w:val="000E7269"/>
    <w:rsid w:val="000E7E54"/>
    <w:rsid w:val="000E7F51"/>
    <w:rsid w:val="000F00D8"/>
    <w:rsid w:val="000F071C"/>
    <w:rsid w:val="000F095B"/>
    <w:rsid w:val="000F0C40"/>
    <w:rsid w:val="000F13C4"/>
    <w:rsid w:val="000F13D7"/>
    <w:rsid w:val="000F17E4"/>
    <w:rsid w:val="000F1878"/>
    <w:rsid w:val="000F1CF3"/>
    <w:rsid w:val="000F1F98"/>
    <w:rsid w:val="000F20CD"/>
    <w:rsid w:val="000F222F"/>
    <w:rsid w:val="000F2965"/>
    <w:rsid w:val="000F2CA6"/>
    <w:rsid w:val="000F2D09"/>
    <w:rsid w:val="000F34C7"/>
    <w:rsid w:val="000F3838"/>
    <w:rsid w:val="000F3B40"/>
    <w:rsid w:val="000F3BD3"/>
    <w:rsid w:val="000F3F2F"/>
    <w:rsid w:val="000F42EA"/>
    <w:rsid w:val="000F4CAF"/>
    <w:rsid w:val="000F4D2F"/>
    <w:rsid w:val="000F4F44"/>
    <w:rsid w:val="000F5340"/>
    <w:rsid w:val="000F53CB"/>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68A"/>
    <w:rsid w:val="001056B6"/>
    <w:rsid w:val="001056C5"/>
    <w:rsid w:val="00105820"/>
    <w:rsid w:val="0010592B"/>
    <w:rsid w:val="00105BF0"/>
    <w:rsid w:val="00105CEE"/>
    <w:rsid w:val="00105DA1"/>
    <w:rsid w:val="0010660E"/>
    <w:rsid w:val="001069CA"/>
    <w:rsid w:val="00106A95"/>
    <w:rsid w:val="00106CC3"/>
    <w:rsid w:val="00106E7E"/>
    <w:rsid w:val="00106FF1"/>
    <w:rsid w:val="0010795D"/>
    <w:rsid w:val="0011034F"/>
    <w:rsid w:val="00110846"/>
    <w:rsid w:val="00110851"/>
    <w:rsid w:val="00111270"/>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4F67"/>
    <w:rsid w:val="0011536C"/>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C13"/>
    <w:rsid w:val="00121769"/>
    <w:rsid w:val="00121E1A"/>
    <w:rsid w:val="001221F2"/>
    <w:rsid w:val="0012240F"/>
    <w:rsid w:val="00122727"/>
    <w:rsid w:val="00122842"/>
    <w:rsid w:val="00123012"/>
    <w:rsid w:val="0012345C"/>
    <w:rsid w:val="00123818"/>
    <w:rsid w:val="00123975"/>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790"/>
    <w:rsid w:val="00130953"/>
    <w:rsid w:val="00130BBD"/>
    <w:rsid w:val="00130FF3"/>
    <w:rsid w:val="00131683"/>
    <w:rsid w:val="00131AC6"/>
    <w:rsid w:val="00131E9D"/>
    <w:rsid w:val="001321CE"/>
    <w:rsid w:val="001322B0"/>
    <w:rsid w:val="00132671"/>
    <w:rsid w:val="00132767"/>
    <w:rsid w:val="00132917"/>
    <w:rsid w:val="00132A8F"/>
    <w:rsid w:val="00132E89"/>
    <w:rsid w:val="0013334C"/>
    <w:rsid w:val="00133CAB"/>
    <w:rsid w:val="00133E7E"/>
    <w:rsid w:val="00133EBD"/>
    <w:rsid w:val="0013466A"/>
    <w:rsid w:val="00134CAD"/>
    <w:rsid w:val="00135015"/>
    <w:rsid w:val="00135095"/>
    <w:rsid w:val="00135517"/>
    <w:rsid w:val="00135829"/>
    <w:rsid w:val="00135884"/>
    <w:rsid w:val="001358A7"/>
    <w:rsid w:val="001358C7"/>
    <w:rsid w:val="001358F4"/>
    <w:rsid w:val="0013612A"/>
    <w:rsid w:val="00136821"/>
    <w:rsid w:val="00136998"/>
    <w:rsid w:val="00136A5E"/>
    <w:rsid w:val="00136AAD"/>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91E"/>
    <w:rsid w:val="00142E42"/>
    <w:rsid w:val="00143153"/>
    <w:rsid w:val="0014368C"/>
    <w:rsid w:val="0014371C"/>
    <w:rsid w:val="00143EFE"/>
    <w:rsid w:val="00143FFE"/>
    <w:rsid w:val="0014471E"/>
    <w:rsid w:val="0014491B"/>
    <w:rsid w:val="00144B3F"/>
    <w:rsid w:val="00144D67"/>
    <w:rsid w:val="00144E04"/>
    <w:rsid w:val="001454C4"/>
    <w:rsid w:val="001460A9"/>
    <w:rsid w:val="001462D7"/>
    <w:rsid w:val="00146577"/>
    <w:rsid w:val="00146773"/>
    <w:rsid w:val="001472F3"/>
    <w:rsid w:val="00147917"/>
    <w:rsid w:val="00147D65"/>
    <w:rsid w:val="00147D91"/>
    <w:rsid w:val="0015034C"/>
    <w:rsid w:val="001504B9"/>
    <w:rsid w:val="0015051D"/>
    <w:rsid w:val="001508E1"/>
    <w:rsid w:val="001509A7"/>
    <w:rsid w:val="001510ED"/>
    <w:rsid w:val="001517AB"/>
    <w:rsid w:val="00151805"/>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3A3"/>
    <w:rsid w:val="00155615"/>
    <w:rsid w:val="00155D53"/>
    <w:rsid w:val="0015622B"/>
    <w:rsid w:val="00156260"/>
    <w:rsid w:val="0015648D"/>
    <w:rsid w:val="00156502"/>
    <w:rsid w:val="00156FAC"/>
    <w:rsid w:val="0016008F"/>
    <w:rsid w:val="0016019C"/>
    <w:rsid w:val="001601C7"/>
    <w:rsid w:val="001602C2"/>
    <w:rsid w:val="00160674"/>
    <w:rsid w:val="00160786"/>
    <w:rsid w:val="00161094"/>
    <w:rsid w:val="00161C42"/>
    <w:rsid w:val="00162262"/>
    <w:rsid w:val="001623A3"/>
    <w:rsid w:val="00162BD5"/>
    <w:rsid w:val="00162CF1"/>
    <w:rsid w:val="00162F82"/>
    <w:rsid w:val="001630E4"/>
    <w:rsid w:val="0016368F"/>
    <w:rsid w:val="001639BC"/>
    <w:rsid w:val="00163AFC"/>
    <w:rsid w:val="00163C9A"/>
    <w:rsid w:val="00164646"/>
    <w:rsid w:val="001647FA"/>
    <w:rsid w:val="00164CCE"/>
    <w:rsid w:val="00164D0B"/>
    <w:rsid w:val="00165137"/>
    <w:rsid w:val="001652D1"/>
    <w:rsid w:val="001652DD"/>
    <w:rsid w:val="0016634F"/>
    <w:rsid w:val="00166809"/>
    <w:rsid w:val="00166879"/>
    <w:rsid w:val="001669F9"/>
    <w:rsid w:val="00166D9E"/>
    <w:rsid w:val="00166EE2"/>
    <w:rsid w:val="0016700E"/>
    <w:rsid w:val="00167125"/>
    <w:rsid w:val="0016733C"/>
    <w:rsid w:val="00167397"/>
    <w:rsid w:val="0016764C"/>
    <w:rsid w:val="00170397"/>
    <w:rsid w:val="00170519"/>
    <w:rsid w:val="001706E4"/>
    <w:rsid w:val="001708D0"/>
    <w:rsid w:val="00170E05"/>
    <w:rsid w:val="00171661"/>
    <w:rsid w:val="001717CC"/>
    <w:rsid w:val="00171B5E"/>
    <w:rsid w:val="00171BC2"/>
    <w:rsid w:val="00171D2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343"/>
    <w:rsid w:val="00181729"/>
    <w:rsid w:val="001817BA"/>
    <w:rsid w:val="00181B3A"/>
    <w:rsid w:val="001820B2"/>
    <w:rsid w:val="001821E9"/>
    <w:rsid w:val="0018246F"/>
    <w:rsid w:val="00182718"/>
    <w:rsid w:val="00182B6A"/>
    <w:rsid w:val="00182FBF"/>
    <w:rsid w:val="001836DF"/>
    <w:rsid w:val="00183CB7"/>
    <w:rsid w:val="00183CC6"/>
    <w:rsid w:val="00183F11"/>
    <w:rsid w:val="001840A0"/>
    <w:rsid w:val="001840F5"/>
    <w:rsid w:val="00184A29"/>
    <w:rsid w:val="00184DAB"/>
    <w:rsid w:val="00184F51"/>
    <w:rsid w:val="00185127"/>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30"/>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85"/>
    <w:rsid w:val="001A2FD5"/>
    <w:rsid w:val="001A3037"/>
    <w:rsid w:val="001A30FB"/>
    <w:rsid w:val="001A35B2"/>
    <w:rsid w:val="001A36CF"/>
    <w:rsid w:val="001A3974"/>
    <w:rsid w:val="001A3F0F"/>
    <w:rsid w:val="001A3FA5"/>
    <w:rsid w:val="001A4EDF"/>
    <w:rsid w:val="001A586A"/>
    <w:rsid w:val="001A6164"/>
    <w:rsid w:val="001A61A0"/>
    <w:rsid w:val="001A680A"/>
    <w:rsid w:val="001A6AFE"/>
    <w:rsid w:val="001A6E27"/>
    <w:rsid w:val="001A706D"/>
    <w:rsid w:val="001A71EB"/>
    <w:rsid w:val="001A72EE"/>
    <w:rsid w:val="001A7826"/>
    <w:rsid w:val="001A79DA"/>
    <w:rsid w:val="001B00B2"/>
    <w:rsid w:val="001B0149"/>
    <w:rsid w:val="001B0251"/>
    <w:rsid w:val="001B07B4"/>
    <w:rsid w:val="001B1565"/>
    <w:rsid w:val="001B19DD"/>
    <w:rsid w:val="001B1BC6"/>
    <w:rsid w:val="001B1D77"/>
    <w:rsid w:val="001B2993"/>
    <w:rsid w:val="001B2C18"/>
    <w:rsid w:val="001B35C1"/>
    <w:rsid w:val="001B364D"/>
    <w:rsid w:val="001B3754"/>
    <w:rsid w:val="001B3A10"/>
    <w:rsid w:val="001B3D1E"/>
    <w:rsid w:val="001B4371"/>
    <w:rsid w:val="001B44B8"/>
    <w:rsid w:val="001B5058"/>
    <w:rsid w:val="001B510D"/>
    <w:rsid w:val="001B5332"/>
    <w:rsid w:val="001B54E9"/>
    <w:rsid w:val="001B55DE"/>
    <w:rsid w:val="001B70CF"/>
    <w:rsid w:val="001B748B"/>
    <w:rsid w:val="001B768D"/>
    <w:rsid w:val="001B7700"/>
    <w:rsid w:val="001B7712"/>
    <w:rsid w:val="001B7905"/>
    <w:rsid w:val="001B7F92"/>
    <w:rsid w:val="001C0066"/>
    <w:rsid w:val="001C0085"/>
    <w:rsid w:val="001C063F"/>
    <w:rsid w:val="001C0874"/>
    <w:rsid w:val="001C0883"/>
    <w:rsid w:val="001C090F"/>
    <w:rsid w:val="001C1544"/>
    <w:rsid w:val="001C16A9"/>
    <w:rsid w:val="001C19EB"/>
    <w:rsid w:val="001C1BC1"/>
    <w:rsid w:val="001C1E53"/>
    <w:rsid w:val="001C211D"/>
    <w:rsid w:val="001C2A8B"/>
    <w:rsid w:val="001C3434"/>
    <w:rsid w:val="001C3474"/>
    <w:rsid w:val="001C3DC6"/>
    <w:rsid w:val="001C3E02"/>
    <w:rsid w:val="001C43B9"/>
    <w:rsid w:val="001C4A39"/>
    <w:rsid w:val="001C4F5F"/>
    <w:rsid w:val="001C54B8"/>
    <w:rsid w:val="001C589B"/>
    <w:rsid w:val="001C58A6"/>
    <w:rsid w:val="001C5BC8"/>
    <w:rsid w:val="001C5DBB"/>
    <w:rsid w:val="001C5E21"/>
    <w:rsid w:val="001C5F88"/>
    <w:rsid w:val="001C6154"/>
    <w:rsid w:val="001C6182"/>
    <w:rsid w:val="001C619C"/>
    <w:rsid w:val="001C62D8"/>
    <w:rsid w:val="001C66D2"/>
    <w:rsid w:val="001C7374"/>
    <w:rsid w:val="001C7F47"/>
    <w:rsid w:val="001C7FBA"/>
    <w:rsid w:val="001D006C"/>
    <w:rsid w:val="001D056C"/>
    <w:rsid w:val="001D0578"/>
    <w:rsid w:val="001D0593"/>
    <w:rsid w:val="001D0684"/>
    <w:rsid w:val="001D0D7C"/>
    <w:rsid w:val="001D1258"/>
    <w:rsid w:val="001D125F"/>
    <w:rsid w:val="001D192D"/>
    <w:rsid w:val="001D19F8"/>
    <w:rsid w:val="001D1CFF"/>
    <w:rsid w:val="001D2553"/>
    <w:rsid w:val="001D2B3C"/>
    <w:rsid w:val="001D2B70"/>
    <w:rsid w:val="001D2E6C"/>
    <w:rsid w:val="001D35DC"/>
    <w:rsid w:val="001D43C0"/>
    <w:rsid w:val="001D448E"/>
    <w:rsid w:val="001D4679"/>
    <w:rsid w:val="001D4969"/>
    <w:rsid w:val="001D4AF0"/>
    <w:rsid w:val="001D4F24"/>
    <w:rsid w:val="001D4FA7"/>
    <w:rsid w:val="001D506F"/>
    <w:rsid w:val="001D57BC"/>
    <w:rsid w:val="001D58AF"/>
    <w:rsid w:val="001D64B0"/>
    <w:rsid w:val="001D6BC7"/>
    <w:rsid w:val="001D6E61"/>
    <w:rsid w:val="001D6F30"/>
    <w:rsid w:val="001D7052"/>
    <w:rsid w:val="001D7189"/>
    <w:rsid w:val="001D7260"/>
    <w:rsid w:val="001D7816"/>
    <w:rsid w:val="001D7ADE"/>
    <w:rsid w:val="001D7B96"/>
    <w:rsid w:val="001D7FE2"/>
    <w:rsid w:val="001E0151"/>
    <w:rsid w:val="001E09F4"/>
    <w:rsid w:val="001E0A73"/>
    <w:rsid w:val="001E0F76"/>
    <w:rsid w:val="001E111F"/>
    <w:rsid w:val="001E1284"/>
    <w:rsid w:val="001E1524"/>
    <w:rsid w:val="001E16D8"/>
    <w:rsid w:val="001E1D3C"/>
    <w:rsid w:val="001E1DDA"/>
    <w:rsid w:val="001E220A"/>
    <w:rsid w:val="001E251E"/>
    <w:rsid w:val="001E266E"/>
    <w:rsid w:val="001E2BF5"/>
    <w:rsid w:val="001E2EEF"/>
    <w:rsid w:val="001E3188"/>
    <w:rsid w:val="001E31D1"/>
    <w:rsid w:val="001E32BE"/>
    <w:rsid w:val="001E338C"/>
    <w:rsid w:val="001E3A45"/>
    <w:rsid w:val="001E3B7D"/>
    <w:rsid w:val="001E40C0"/>
    <w:rsid w:val="001E420B"/>
    <w:rsid w:val="001E4704"/>
    <w:rsid w:val="001E5BB2"/>
    <w:rsid w:val="001E5D1F"/>
    <w:rsid w:val="001E6313"/>
    <w:rsid w:val="001E6692"/>
    <w:rsid w:val="001E6870"/>
    <w:rsid w:val="001E6BDA"/>
    <w:rsid w:val="001E6C1B"/>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C95"/>
    <w:rsid w:val="001F5C9E"/>
    <w:rsid w:val="001F5E73"/>
    <w:rsid w:val="001F5ED8"/>
    <w:rsid w:val="001F5F10"/>
    <w:rsid w:val="001F63F5"/>
    <w:rsid w:val="001F644E"/>
    <w:rsid w:val="001F6DCF"/>
    <w:rsid w:val="001F6E4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5F8"/>
    <w:rsid w:val="00205635"/>
    <w:rsid w:val="002059A3"/>
    <w:rsid w:val="00205AB2"/>
    <w:rsid w:val="00205CB2"/>
    <w:rsid w:val="00205D98"/>
    <w:rsid w:val="00205F6D"/>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7DF"/>
    <w:rsid w:val="00214E0D"/>
    <w:rsid w:val="00214EE1"/>
    <w:rsid w:val="0021512E"/>
    <w:rsid w:val="002152CA"/>
    <w:rsid w:val="0021586D"/>
    <w:rsid w:val="00215D76"/>
    <w:rsid w:val="00215D88"/>
    <w:rsid w:val="00215FAB"/>
    <w:rsid w:val="00216195"/>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D54"/>
    <w:rsid w:val="00220E92"/>
    <w:rsid w:val="00221022"/>
    <w:rsid w:val="0022135D"/>
    <w:rsid w:val="002222A4"/>
    <w:rsid w:val="00222AB8"/>
    <w:rsid w:val="00222B25"/>
    <w:rsid w:val="00222FE7"/>
    <w:rsid w:val="00223576"/>
    <w:rsid w:val="0022375C"/>
    <w:rsid w:val="00223833"/>
    <w:rsid w:val="00223ACD"/>
    <w:rsid w:val="00223FA0"/>
    <w:rsid w:val="00224A38"/>
    <w:rsid w:val="00224A9B"/>
    <w:rsid w:val="0022657F"/>
    <w:rsid w:val="00226587"/>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1DE4"/>
    <w:rsid w:val="002421F2"/>
    <w:rsid w:val="0024222A"/>
    <w:rsid w:val="0024284B"/>
    <w:rsid w:val="0024286B"/>
    <w:rsid w:val="00242B2A"/>
    <w:rsid w:val="00242CAE"/>
    <w:rsid w:val="002433AA"/>
    <w:rsid w:val="00243ACD"/>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5A"/>
    <w:rsid w:val="00246EB6"/>
    <w:rsid w:val="00246F38"/>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A62"/>
    <w:rsid w:val="00257C56"/>
    <w:rsid w:val="00260156"/>
    <w:rsid w:val="00260677"/>
    <w:rsid w:val="0026075E"/>
    <w:rsid w:val="002608BD"/>
    <w:rsid w:val="00260FAD"/>
    <w:rsid w:val="00261624"/>
    <w:rsid w:val="002617F6"/>
    <w:rsid w:val="00261914"/>
    <w:rsid w:val="00261D05"/>
    <w:rsid w:val="00261E27"/>
    <w:rsid w:val="002623AC"/>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517"/>
    <w:rsid w:val="00265701"/>
    <w:rsid w:val="00265CB1"/>
    <w:rsid w:val="00265E9A"/>
    <w:rsid w:val="00266111"/>
    <w:rsid w:val="00266210"/>
    <w:rsid w:val="002664FA"/>
    <w:rsid w:val="00266537"/>
    <w:rsid w:val="00266867"/>
    <w:rsid w:val="002669E8"/>
    <w:rsid w:val="0026716C"/>
    <w:rsid w:val="002672DB"/>
    <w:rsid w:val="00267D1B"/>
    <w:rsid w:val="002706CC"/>
    <w:rsid w:val="00270B15"/>
    <w:rsid w:val="00270C63"/>
    <w:rsid w:val="00270C98"/>
    <w:rsid w:val="00270CF1"/>
    <w:rsid w:val="00270E57"/>
    <w:rsid w:val="0027102E"/>
    <w:rsid w:val="002711C3"/>
    <w:rsid w:val="002713CE"/>
    <w:rsid w:val="0027193C"/>
    <w:rsid w:val="00271EEF"/>
    <w:rsid w:val="00272172"/>
    <w:rsid w:val="0027242C"/>
    <w:rsid w:val="00272474"/>
    <w:rsid w:val="0027257A"/>
    <w:rsid w:val="002727F3"/>
    <w:rsid w:val="00272983"/>
    <w:rsid w:val="00272A1D"/>
    <w:rsid w:val="00272C60"/>
    <w:rsid w:val="00272D06"/>
    <w:rsid w:val="00272DEF"/>
    <w:rsid w:val="00272FEB"/>
    <w:rsid w:val="00273644"/>
    <w:rsid w:val="002738C9"/>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4EAD"/>
    <w:rsid w:val="0028550D"/>
    <w:rsid w:val="00285520"/>
    <w:rsid w:val="0028561D"/>
    <w:rsid w:val="00285894"/>
    <w:rsid w:val="00285C1F"/>
    <w:rsid w:val="00285E28"/>
    <w:rsid w:val="00286631"/>
    <w:rsid w:val="00286F76"/>
    <w:rsid w:val="00286FA3"/>
    <w:rsid w:val="002872E8"/>
    <w:rsid w:val="00287376"/>
    <w:rsid w:val="0028741C"/>
    <w:rsid w:val="0028775F"/>
    <w:rsid w:val="002877DE"/>
    <w:rsid w:val="00287C28"/>
    <w:rsid w:val="00287C39"/>
    <w:rsid w:val="00290254"/>
    <w:rsid w:val="00290B24"/>
    <w:rsid w:val="00290C83"/>
    <w:rsid w:val="0029142E"/>
    <w:rsid w:val="002915DA"/>
    <w:rsid w:val="0029178F"/>
    <w:rsid w:val="00291C45"/>
    <w:rsid w:val="00292540"/>
    <w:rsid w:val="00293504"/>
    <w:rsid w:val="0029380E"/>
    <w:rsid w:val="00293C49"/>
    <w:rsid w:val="00294266"/>
    <w:rsid w:val="002944CA"/>
    <w:rsid w:val="00294504"/>
    <w:rsid w:val="00294722"/>
    <w:rsid w:val="00294AB1"/>
    <w:rsid w:val="00294C8C"/>
    <w:rsid w:val="00295226"/>
    <w:rsid w:val="002953D0"/>
    <w:rsid w:val="00295530"/>
    <w:rsid w:val="00295BA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0A7F"/>
    <w:rsid w:val="002A1959"/>
    <w:rsid w:val="002A1A4F"/>
    <w:rsid w:val="002A1A57"/>
    <w:rsid w:val="002A1DA1"/>
    <w:rsid w:val="002A1EE7"/>
    <w:rsid w:val="002A205B"/>
    <w:rsid w:val="002A2480"/>
    <w:rsid w:val="002A2A75"/>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0D7"/>
    <w:rsid w:val="002A732C"/>
    <w:rsid w:val="002A7A6A"/>
    <w:rsid w:val="002A7AB4"/>
    <w:rsid w:val="002B06DF"/>
    <w:rsid w:val="002B07BF"/>
    <w:rsid w:val="002B0805"/>
    <w:rsid w:val="002B0960"/>
    <w:rsid w:val="002B0C99"/>
    <w:rsid w:val="002B0CB5"/>
    <w:rsid w:val="002B10F9"/>
    <w:rsid w:val="002B12C7"/>
    <w:rsid w:val="002B12F1"/>
    <w:rsid w:val="002B143D"/>
    <w:rsid w:val="002B1482"/>
    <w:rsid w:val="002B1AFA"/>
    <w:rsid w:val="002B21D6"/>
    <w:rsid w:val="002B2C92"/>
    <w:rsid w:val="002B3081"/>
    <w:rsid w:val="002B318B"/>
    <w:rsid w:val="002B32BC"/>
    <w:rsid w:val="002B33DC"/>
    <w:rsid w:val="002B340B"/>
    <w:rsid w:val="002B34AE"/>
    <w:rsid w:val="002B3D90"/>
    <w:rsid w:val="002B453B"/>
    <w:rsid w:val="002B4C39"/>
    <w:rsid w:val="002B4F38"/>
    <w:rsid w:val="002B5D6B"/>
    <w:rsid w:val="002B601A"/>
    <w:rsid w:val="002B61CF"/>
    <w:rsid w:val="002B61F1"/>
    <w:rsid w:val="002B64FE"/>
    <w:rsid w:val="002B694E"/>
    <w:rsid w:val="002B6D31"/>
    <w:rsid w:val="002B7540"/>
    <w:rsid w:val="002B7D56"/>
    <w:rsid w:val="002C04C2"/>
    <w:rsid w:val="002C0818"/>
    <w:rsid w:val="002C0A1D"/>
    <w:rsid w:val="002C0D11"/>
    <w:rsid w:val="002C138D"/>
    <w:rsid w:val="002C1468"/>
    <w:rsid w:val="002C162E"/>
    <w:rsid w:val="002C1B17"/>
    <w:rsid w:val="002C203A"/>
    <w:rsid w:val="002C2987"/>
    <w:rsid w:val="002C2AE9"/>
    <w:rsid w:val="002C2B29"/>
    <w:rsid w:val="002C2E8A"/>
    <w:rsid w:val="002C2FCD"/>
    <w:rsid w:val="002C369F"/>
    <w:rsid w:val="002C3AE4"/>
    <w:rsid w:val="002C3E89"/>
    <w:rsid w:val="002C42AA"/>
    <w:rsid w:val="002C4AF6"/>
    <w:rsid w:val="002C4F57"/>
    <w:rsid w:val="002C4F7C"/>
    <w:rsid w:val="002C514E"/>
    <w:rsid w:val="002C5236"/>
    <w:rsid w:val="002C5533"/>
    <w:rsid w:val="002C5620"/>
    <w:rsid w:val="002C5A6B"/>
    <w:rsid w:val="002C61E0"/>
    <w:rsid w:val="002C640C"/>
    <w:rsid w:val="002C64DE"/>
    <w:rsid w:val="002C66D7"/>
    <w:rsid w:val="002C6703"/>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599"/>
    <w:rsid w:val="002D3968"/>
    <w:rsid w:val="002D3F19"/>
    <w:rsid w:val="002D425A"/>
    <w:rsid w:val="002D4314"/>
    <w:rsid w:val="002D4327"/>
    <w:rsid w:val="002D4A54"/>
    <w:rsid w:val="002D4BF4"/>
    <w:rsid w:val="002D4C49"/>
    <w:rsid w:val="002D4C58"/>
    <w:rsid w:val="002D4E37"/>
    <w:rsid w:val="002D52E0"/>
    <w:rsid w:val="002D58D2"/>
    <w:rsid w:val="002D5DEA"/>
    <w:rsid w:val="002D6127"/>
    <w:rsid w:val="002D61BE"/>
    <w:rsid w:val="002D621B"/>
    <w:rsid w:val="002D6497"/>
    <w:rsid w:val="002D7235"/>
    <w:rsid w:val="002D76E8"/>
    <w:rsid w:val="002D7C49"/>
    <w:rsid w:val="002E07F8"/>
    <w:rsid w:val="002E0E94"/>
    <w:rsid w:val="002E15A5"/>
    <w:rsid w:val="002E16BC"/>
    <w:rsid w:val="002E2098"/>
    <w:rsid w:val="002E22BC"/>
    <w:rsid w:val="002E25D2"/>
    <w:rsid w:val="002E2738"/>
    <w:rsid w:val="002E290E"/>
    <w:rsid w:val="002E2923"/>
    <w:rsid w:val="002E2A76"/>
    <w:rsid w:val="002E306D"/>
    <w:rsid w:val="002E3653"/>
    <w:rsid w:val="002E37EE"/>
    <w:rsid w:val="002E38B7"/>
    <w:rsid w:val="002E4301"/>
    <w:rsid w:val="002E4504"/>
    <w:rsid w:val="002E4D3C"/>
    <w:rsid w:val="002E58E1"/>
    <w:rsid w:val="002E5BDD"/>
    <w:rsid w:val="002E5C56"/>
    <w:rsid w:val="002E5C6E"/>
    <w:rsid w:val="002E5D86"/>
    <w:rsid w:val="002E5DD7"/>
    <w:rsid w:val="002E6112"/>
    <w:rsid w:val="002E67C7"/>
    <w:rsid w:val="002E6809"/>
    <w:rsid w:val="002E74DB"/>
    <w:rsid w:val="002E7B2B"/>
    <w:rsid w:val="002F0045"/>
    <w:rsid w:val="002F00F0"/>
    <w:rsid w:val="002F0248"/>
    <w:rsid w:val="002F025B"/>
    <w:rsid w:val="002F0684"/>
    <w:rsid w:val="002F09C0"/>
    <w:rsid w:val="002F0ADB"/>
    <w:rsid w:val="002F0E34"/>
    <w:rsid w:val="002F1A31"/>
    <w:rsid w:val="002F2AE0"/>
    <w:rsid w:val="002F2CD3"/>
    <w:rsid w:val="002F2EA6"/>
    <w:rsid w:val="002F31C4"/>
    <w:rsid w:val="002F3623"/>
    <w:rsid w:val="002F3F16"/>
    <w:rsid w:val="002F413F"/>
    <w:rsid w:val="002F446A"/>
    <w:rsid w:val="002F44AD"/>
    <w:rsid w:val="002F45D3"/>
    <w:rsid w:val="002F4934"/>
    <w:rsid w:val="002F4A52"/>
    <w:rsid w:val="002F4CF5"/>
    <w:rsid w:val="002F4E98"/>
    <w:rsid w:val="002F4F5C"/>
    <w:rsid w:val="002F4FC5"/>
    <w:rsid w:val="002F5312"/>
    <w:rsid w:val="002F5422"/>
    <w:rsid w:val="002F5634"/>
    <w:rsid w:val="002F566C"/>
    <w:rsid w:val="002F5874"/>
    <w:rsid w:val="002F5881"/>
    <w:rsid w:val="002F5D0A"/>
    <w:rsid w:val="002F5FDA"/>
    <w:rsid w:val="002F63ED"/>
    <w:rsid w:val="002F677A"/>
    <w:rsid w:val="002F6AC6"/>
    <w:rsid w:val="002F6BDA"/>
    <w:rsid w:val="002F78B4"/>
    <w:rsid w:val="002F7919"/>
    <w:rsid w:val="002F7B6D"/>
    <w:rsid w:val="002F7D48"/>
    <w:rsid w:val="002F7EC5"/>
    <w:rsid w:val="00300085"/>
    <w:rsid w:val="0030027C"/>
    <w:rsid w:val="003003AD"/>
    <w:rsid w:val="0030050E"/>
    <w:rsid w:val="00300789"/>
    <w:rsid w:val="00300A73"/>
    <w:rsid w:val="003011C0"/>
    <w:rsid w:val="00301B48"/>
    <w:rsid w:val="00301DA6"/>
    <w:rsid w:val="00301EE4"/>
    <w:rsid w:val="003024DE"/>
    <w:rsid w:val="00302701"/>
    <w:rsid w:val="00302739"/>
    <w:rsid w:val="00302B48"/>
    <w:rsid w:val="00302EDE"/>
    <w:rsid w:val="00302FEF"/>
    <w:rsid w:val="0030318E"/>
    <w:rsid w:val="00303687"/>
    <w:rsid w:val="00304556"/>
    <w:rsid w:val="00304AC5"/>
    <w:rsid w:val="00304C9E"/>
    <w:rsid w:val="003065FB"/>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1C5E"/>
    <w:rsid w:val="00312709"/>
    <w:rsid w:val="00313765"/>
    <w:rsid w:val="003137A0"/>
    <w:rsid w:val="00313B09"/>
    <w:rsid w:val="00313B45"/>
    <w:rsid w:val="00313BC1"/>
    <w:rsid w:val="00313C4F"/>
    <w:rsid w:val="003141C2"/>
    <w:rsid w:val="00314CBB"/>
    <w:rsid w:val="0031599D"/>
    <w:rsid w:val="00315C95"/>
    <w:rsid w:val="00315EB9"/>
    <w:rsid w:val="00316064"/>
    <w:rsid w:val="00316420"/>
    <w:rsid w:val="00316ACE"/>
    <w:rsid w:val="00316C58"/>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7A7"/>
    <w:rsid w:val="00321822"/>
    <w:rsid w:val="00321B02"/>
    <w:rsid w:val="00321F33"/>
    <w:rsid w:val="00322219"/>
    <w:rsid w:val="00322BC3"/>
    <w:rsid w:val="00322C2B"/>
    <w:rsid w:val="00322E3B"/>
    <w:rsid w:val="00323123"/>
    <w:rsid w:val="00323438"/>
    <w:rsid w:val="00323A78"/>
    <w:rsid w:val="00323FAD"/>
    <w:rsid w:val="00324089"/>
    <w:rsid w:val="0032441B"/>
    <w:rsid w:val="00324701"/>
    <w:rsid w:val="0032489D"/>
    <w:rsid w:val="003249F8"/>
    <w:rsid w:val="00325295"/>
    <w:rsid w:val="0032556B"/>
    <w:rsid w:val="00325CB3"/>
    <w:rsid w:val="0032651E"/>
    <w:rsid w:val="003267F9"/>
    <w:rsid w:val="00326A44"/>
    <w:rsid w:val="00326C67"/>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6A1"/>
    <w:rsid w:val="00341706"/>
    <w:rsid w:val="003422B1"/>
    <w:rsid w:val="0034230E"/>
    <w:rsid w:val="0034246D"/>
    <w:rsid w:val="0034305B"/>
    <w:rsid w:val="0034324F"/>
    <w:rsid w:val="00343A58"/>
    <w:rsid w:val="00343C24"/>
    <w:rsid w:val="00343FA6"/>
    <w:rsid w:val="00344433"/>
    <w:rsid w:val="00344725"/>
    <w:rsid w:val="00344901"/>
    <w:rsid w:val="0034511B"/>
    <w:rsid w:val="0034745C"/>
    <w:rsid w:val="003474CD"/>
    <w:rsid w:val="003476A5"/>
    <w:rsid w:val="0034796F"/>
    <w:rsid w:val="003479B6"/>
    <w:rsid w:val="00347BBA"/>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A0"/>
    <w:rsid w:val="003531B0"/>
    <w:rsid w:val="003532D2"/>
    <w:rsid w:val="003536C6"/>
    <w:rsid w:val="003539B2"/>
    <w:rsid w:val="00353BED"/>
    <w:rsid w:val="00353D8A"/>
    <w:rsid w:val="0035414B"/>
    <w:rsid w:val="00354FE6"/>
    <w:rsid w:val="003552C6"/>
    <w:rsid w:val="003558FD"/>
    <w:rsid w:val="00355A83"/>
    <w:rsid w:val="00356054"/>
    <w:rsid w:val="003562D7"/>
    <w:rsid w:val="00356353"/>
    <w:rsid w:val="003567C9"/>
    <w:rsid w:val="00356B14"/>
    <w:rsid w:val="00356CEC"/>
    <w:rsid w:val="0035705A"/>
    <w:rsid w:val="003570F4"/>
    <w:rsid w:val="003572DE"/>
    <w:rsid w:val="00357659"/>
    <w:rsid w:val="00357712"/>
    <w:rsid w:val="00357CAE"/>
    <w:rsid w:val="00357F11"/>
    <w:rsid w:val="003604DB"/>
    <w:rsid w:val="003617B5"/>
    <w:rsid w:val="0036185C"/>
    <w:rsid w:val="00361B1A"/>
    <w:rsid w:val="0036227D"/>
    <w:rsid w:val="00362585"/>
    <w:rsid w:val="0036262C"/>
    <w:rsid w:val="003626A7"/>
    <w:rsid w:val="00362A30"/>
    <w:rsid w:val="00362C5A"/>
    <w:rsid w:val="00362E47"/>
    <w:rsid w:val="00363539"/>
    <w:rsid w:val="003635B6"/>
    <w:rsid w:val="00363AE6"/>
    <w:rsid w:val="00363C06"/>
    <w:rsid w:val="00363C31"/>
    <w:rsid w:val="00363FC9"/>
    <w:rsid w:val="00365023"/>
    <w:rsid w:val="00365644"/>
    <w:rsid w:val="0036590C"/>
    <w:rsid w:val="00365B66"/>
    <w:rsid w:val="00366428"/>
    <w:rsid w:val="003665C5"/>
    <w:rsid w:val="00366B3A"/>
    <w:rsid w:val="00366D7F"/>
    <w:rsid w:val="00367606"/>
    <w:rsid w:val="00367681"/>
    <w:rsid w:val="00370285"/>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66"/>
    <w:rsid w:val="00374C80"/>
    <w:rsid w:val="00374F06"/>
    <w:rsid w:val="00375222"/>
    <w:rsid w:val="00375D22"/>
    <w:rsid w:val="00375FFC"/>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E76"/>
    <w:rsid w:val="003821E7"/>
    <w:rsid w:val="00382903"/>
    <w:rsid w:val="00383142"/>
    <w:rsid w:val="00383D4B"/>
    <w:rsid w:val="00383DDB"/>
    <w:rsid w:val="003842A8"/>
    <w:rsid w:val="00384485"/>
    <w:rsid w:val="00384747"/>
    <w:rsid w:val="003848D9"/>
    <w:rsid w:val="00384BC0"/>
    <w:rsid w:val="003852CC"/>
    <w:rsid w:val="00385A70"/>
    <w:rsid w:val="00385B54"/>
    <w:rsid w:val="00385BD7"/>
    <w:rsid w:val="00385D47"/>
    <w:rsid w:val="00386688"/>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850"/>
    <w:rsid w:val="003929A7"/>
    <w:rsid w:val="00392A1F"/>
    <w:rsid w:val="00392DB8"/>
    <w:rsid w:val="00393A04"/>
    <w:rsid w:val="00393A68"/>
    <w:rsid w:val="00393B78"/>
    <w:rsid w:val="00393F66"/>
    <w:rsid w:val="003946B1"/>
    <w:rsid w:val="00394775"/>
    <w:rsid w:val="00394948"/>
    <w:rsid w:val="00394B44"/>
    <w:rsid w:val="00394D6C"/>
    <w:rsid w:val="0039500D"/>
    <w:rsid w:val="0039502C"/>
    <w:rsid w:val="0039511F"/>
    <w:rsid w:val="00395444"/>
    <w:rsid w:val="003956FE"/>
    <w:rsid w:val="003958F1"/>
    <w:rsid w:val="0039598F"/>
    <w:rsid w:val="0039610F"/>
    <w:rsid w:val="003962EC"/>
    <w:rsid w:val="003965AE"/>
    <w:rsid w:val="0039665F"/>
    <w:rsid w:val="00396806"/>
    <w:rsid w:val="00396BBB"/>
    <w:rsid w:val="00397292"/>
    <w:rsid w:val="00397650"/>
    <w:rsid w:val="003976DD"/>
    <w:rsid w:val="003978B8"/>
    <w:rsid w:val="00397AD4"/>
    <w:rsid w:val="00397B87"/>
    <w:rsid w:val="00397C89"/>
    <w:rsid w:val="00397DFD"/>
    <w:rsid w:val="003A0311"/>
    <w:rsid w:val="003A0736"/>
    <w:rsid w:val="003A0938"/>
    <w:rsid w:val="003A09D3"/>
    <w:rsid w:val="003A0D45"/>
    <w:rsid w:val="003A0EB2"/>
    <w:rsid w:val="003A1135"/>
    <w:rsid w:val="003A1341"/>
    <w:rsid w:val="003A17BA"/>
    <w:rsid w:val="003A19E0"/>
    <w:rsid w:val="003A1AD1"/>
    <w:rsid w:val="003A1AD7"/>
    <w:rsid w:val="003A1B5C"/>
    <w:rsid w:val="003A1DD5"/>
    <w:rsid w:val="003A1FCC"/>
    <w:rsid w:val="003A2019"/>
    <w:rsid w:val="003A22FA"/>
    <w:rsid w:val="003A2474"/>
    <w:rsid w:val="003A2602"/>
    <w:rsid w:val="003A2647"/>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02C"/>
    <w:rsid w:val="003B020A"/>
    <w:rsid w:val="003B0299"/>
    <w:rsid w:val="003B03B4"/>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13D"/>
    <w:rsid w:val="003B7294"/>
    <w:rsid w:val="003B73B5"/>
    <w:rsid w:val="003B76F0"/>
    <w:rsid w:val="003B76FE"/>
    <w:rsid w:val="003B7DB4"/>
    <w:rsid w:val="003C009A"/>
    <w:rsid w:val="003C07D7"/>
    <w:rsid w:val="003C0985"/>
    <w:rsid w:val="003C10B8"/>
    <w:rsid w:val="003C2C9D"/>
    <w:rsid w:val="003C3498"/>
    <w:rsid w:val="003C3B73"/>
    <w:rsid w:val="003C3D6E"/>
    <w:rsid w:val="003C3F8B"/>
    <w:rsid w:val="003C4213"/>
    <w:rsid w:val="003C4250"/>
    <w:rsid w:val="003C44DB"/>
    <w:rsid w:val="003C4747"/>
    <w:rsid w:val="003C4CA3"/>
    <w:rsid w:val="003C4F25"/>
    <w:rsid w:val="003C5268"/>
    <w:rsid w:val="003C5ED7"/>
    <w:rsid w:val="003C64CD"/>
    <w:rsid w:val="003C6580"/>
    <w:rsid w:val="003C6A1C"/>
    <w:rsid w:val="003C6CCB"/>
    <w:rsid w:val="003C6DA9"/>
    <w:rsid w:val="003C7074"/>
    <w:rsid w:val="003C7855"/>
    <w:rsid w:val="003D0240"/>
    <w:rsid w:val="003D06A7"/>
    <w:rsid w:val="003D0868"/>
    <w:rsid w:val="003D09DA"/>
    <w:rsid w:val="003D0D75"/>
    <w:rsid w:val="003D1F11"/>
    <w:rsid w:val="003D2254"/>
    <w:rsid w:val="003D22AC"/>
    <w:rsid w:val="003D2339"/>
    <w:rsid w:val="003D24B7"/>
    <w:rsid w:val="003D26AA"/>
    <w:rsid w:val="003D2E43"/>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5C0"/>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C10"/>
    <w:rsid w:val="003F348A"/>
    <w:rsid w:val="003F395B"/>
    <w:rsid w:val="003F4789"/>
    <w:rsid w:val="003F4933"/>
    <w:rsid w:val="003F4977"/>
    <w:rsid w:val="003F4A21"/>
    <w:rsid w:val="003F4DDA"/>
    <w:rsid w:val="003F4E1C"/>
    <w:rsid w:val="003F536B"/>
    <w:rsid w:val="003F560A"/>
    <w:rsid w:val="003F57E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8F0"/>
    <w:rsid w:val="00401EE0"/>
    <w:rsid w:val="00401EE4"/>
    <w:rsid w:val="004021B5"/>
    <w:rsid w:val="004022A2"/>
    <w:rsid w:val="004024AB"/>
    <w:rsid w:val="00402DC4"/>
    <w:rsid w:val="00402F2C"/>
    <w:rsid w:val="0040303D"/>
    <w:rsid w:val="0040379F"/>
    <w:rsid w:val="00403805"/>
    <w:rsid w:val="00403957"/>
    <w:rsid w:val="00403F25"/>
    <w:rsid w:val="00404011"/>
    <w:rsid w:val="0040495B"/>
    <w:rsid w:val="00404B3F"/>
    <w:rsid w:val="00404BDD"/>
    <w:rsid w:val="00404D4D"/>
    <w:rsid w:val="00405878"/>
    <w:rsid w:val="00405898"/>
    <w:rsid w:val="00405A9F"/>
    <w:rsid w:val="00405D95"/>
    <w:rsid w:val="00405F90"/>
    <w:rsid w:val="00406108"/>
    <w:rsid w:val="004063B2"/>
    <w:rsid w:val="00406412"/>
    <w:rsid w:val="00406F4B"/>
    <w:rsid w:val="00406FBD"/>
    <w:rsid w:val="00407258"/>
    <w:rsid w:val="004073B0"/>
    <w:rsid w:val="00407612"/>
    <w:rsid w:val="0040763E"/>
    <w:rsid w:val="00407837"/>
    <w:rsid w:val="00407DC9"/>
    <w:rsid w:val="0041029D"/>
    <w:rsid w:val="004102A7"/>
    <w:rsid w:val="00411230"/>
    <w:rsid w:val="00411662"/>
    <w:rsid w:val="004116C3"/>
    <w:rsid w:val="004118C9"/>
    <w:rsid w:val="00411C9D"/>
    <w:rsid w:val="0041249C"/>
    <w:rsid w:val="00412697"/>
    <w:rsid w:val="00413369"/>
    <w:rsid w:val="00413BB3"/>
    <w:rsid w:val="004145AE"/>
    <w:rsid w:val="004147F4"/>
    <w:rsid w:val="00414C3F"/>
    <w:rsid w:val="0041539C"/>
    <w:rsid w:val="0041577E"/>
    <w:rsid w:val="004157F6"/>
    <w:rsid w:val="004159D3"/>
    <w:rsid w:val="00415A14"/>
    <w:rsid w:val="00416091"/>
    <w:rsid w:val="0041616C"/>
    <w:rsid w:val="0041634C"/>
    <w:rsid w:val="0041676F"/>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215"/>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187"/>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4DB"/>
    <w:rsid w:val="00430549"/>
    <w:rsid w:val="0043063B"/>
    <w:rsid w:val="00430733"/>
    <w:rsid w:val="00431149"/>
    <w:rsid w:val="0043189C"/>
    <w:rsid w:val="004318FF"/>
    <w:rsid w:val="00431C52"/>
    <w:rsid w:val="00431CB1"/>
    <w:rsid w:val="00431DB5"/>
    <w:rsid w:val="0043270B"/>
    <w:rsid w:val="00432780"/>
    <w:rsid w:val="00432F8F"/>
    <w:rsid w:val="00432F9E"/>
    <w:rsid w:val="00433106"/>
    <w:rsid w:val="00433805"/>
    <w:rsid w:val="00433B47"/>
    <w:rsid w:val="00433D8A"/>
    <w:rsid w:val="00434066"/>
    <w:rsid w:val="00434074"/>
    <w:rsid w:val="00434214"/>
    <w:rsid w:val="00434754"/>
    <w:rsid w:val="0043480E"/>
    <w:rsid w:val="00434C24"/>
    <w:rsid w:val="00434D46"/>
    <w:rsid w:val="00434F83"/>
    <w:rsid w:val="00435248"/>
    <w:rsid w:val="0043542F"/>
    <w:rsid w:val="004355EB"/>
    <w:rsid w:val="00435602"/>
    <w:rsid w:val="004356CE"/>
    <w:rsid w:val="004356FA"/>
    <w:rsid w:val="004358F4"/>
    <w:rsid w:val="00435A15"/>
    <w:rsid w:val="00435BBA"/>
    <w:rsid w:val="00435CCF"/>
    <w:rsid w:val="0043604F"/>
    <w:rsid w:val="004365AF"/>
    <w:rsid w:val="00436696"/>
    <w:rsid w:val="00436A3B"/>
    <w:rsid w:val="00436DE5"/>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EB4"/>
    <w:rsid w:val="00444F5E"/>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863"/>
    <w:rsid w:val="004548E5"/>
    <w:rsid w:val="00454ACD"/>
    <w:rsid w:val="00454F08"/>
    <w:rsid w:val="00454F85"/>
    <w:rsid w:val="00455105"/>
    <w:rsid w:val="004551C3"/>
    <w:rsid w:val="0045591A"/>
    <w:rsid w:val="00455E20"/>
    <w:rsid w:val="00455E21"/>
    <w:rsid w:val="00456104"/>
    <w:rsid w:val="00456114"/>
    <w:rsid w:val="0045623E"/>
    <w:rsid w:val="00456584"/>
    <w:rsid w:val="00456971"/>
    <w:rsid w:val="00456AC1"/>
    <w:rsid w:val="00456AC7"/>
    <w:rsid w:val="00457141"/>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D11"/>
    <w:rsid w:val="0046400B"/>
    <w:rsid w:val="00464074"/>
    <w:rsid w:val="004641A0"/>
    <w:rsid w:val="0046421E"/>
    <w:rsid w:val="0046434B"/>
    <w:rsid w:val="00464A82"/>
    <w:rsid w:val="00464EE0"/>
    <w:rsid w:val="00465180"/>
    <w:rsid w:val="00465235"/>
    <w:rsid w:val="00465467"/>
    <w:rsid w:val="00465573"/>
    <w:rsid w:val="00465EB3"/>
    <w:rsid w:val="004665D2"/>
    <w:rsid w:val="0047041E"/>
    <w:rsid w:val="00470628"/>
    <w:rsid w:val="00470750"/>
    <w:rsid w:val="00470893"/>
    <w:rsid w:val="0047166D"/>
    <w:rsid w:val="00471856"/>
    <w:rsid w:val="00471DB0"/>
    <w:rsid w:val="00471FAB"/>
    <w:rsid w:val="0047253B"/>
    <w:rsid w:val="00472ACB"/>
    <w:rsid w:val="004735E8"/>
    <w:rsid w:val="004737D3"/>
    <w:rsid w:val="00473F5F"/>
    <w:rsid w:val="00474076"/>
    <w:rsid w:val="0047410D"/>
    <w:rsid w:val="004746D5"/>
    <w:rsid w:val="0047475B"/>
    <w:rsid w:val="00475260"/>
    <w:rsid w:val="0047539C"/>
    <w:rsid w:val="004753D8"/>
    <w:rsid w:val="004755D5"/>
    <w:rsid w:val="00475674"/>
    <w:rsid w:val="00475BC8"/>
    <w:rsid w:val="00475BCB"/>
    <w:rsid w:val="00475E50"/>
    <w:rsid w:val="00475E54"/>
    <w:rsid w:val="00475F90"/>
    <w:rsid w:val="004760DD"/>
    <w:rsid w:val="00476549"/>
    <w:rsid w:val="00476D14"/>
    <w:rsid w:val="00476D8B"/>
    <w:rsid w:val="00476E98"/>
    <w:rsid w:val="00476EAE"/>
    <w:rsid w:val="004774C5"/>
    <w:rsid w:val="004774F0"/>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730"/>
    <w:rsid w:val="00483D11"/>
    <w:rsid w:val="00483D20"/>
    <w:rsid w:val="0048406D"/>
    <w:rsid w:val="0048495A"/>
    <w:rsid w:val="00484C46"/>
    <w:rsid w:val="00484DC1"/>
    <w:rsid w:val="004852E8"/>
    <w:rsid w:val="004853E9"/>
    <w:rsid w:val="00485460"/>
    <w:rsid w:val="004854C1"/>
    <w:rsid w:val="004856EF"/>
    <w:rsid w:val="0048598C"/>
    <w:rsid w:val="00485998"/>
    <w:rsid w:val="00485A0B"/>
    <w:rsid w:val="00485E8A"/>
    <w:rsid w:val="004862DE"/>
    <w:rsid w:val="004864FB"/>
    <w:rsid w:val="004869B5"/>
    <w:rsid w:val="00486C70"/>
    <w:rsid w:val="00486FAA"/>
    <w:rsid w:val="00487866"/>
    <w:rsid w:val="00487EB7"/>
    <w:rsid w:val="00487F28"/>
    <w:rsid w:val="00490185"/>
    <w:rsid w:val="00490532"/>
    <w:rsid w:val="00490649"/>
    <w:rsid w:val="00490683"/>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D08"/>
    <w:rsid w:val="004948F4"/>
    <w:rsid w:val="004949D8"/>
    <w:rsid w:val="00494E75"/>
    <w:rsid w:val="00495071"/>
    <w:rsid w:val="004961DB"/>
    <w:rsid w:val="0049653E"/>
    <w:rsid w:val="004967A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C52"/>
    <w:rsid w:val="004A2E44"/>
    <w:rsid w:val="004A328E"/>
    <w:rsid w:val="004A32C1"/>
    <w:rsid w:val="004A366E"/>
    <w:rsid w:val="004A36C0"/>
    <w:rsid w:val="004A38D2"/>
    <w:rsid w:val="004A3AA3"/>
    <w:rsid w:val="004A3CB9"/>
    <w:rsid w:val="004A4625"/>
    <w:rsid w:val="004A4900"/>
    <w:rsid w:val="004A4D38"/>
    <w:rsid w:val="004A4E7E"/>
    <w:rsid w:val="004A4E95"/>
    <w:rsid w:val="004A4EB4"/>
    <w:rsid w:val="004A51FA"/>
    <w:rsid w:val="004A5270"/>
    <w:rsid w:val="004A566F"/>
    <w:rsid w:val="004A57FC"/>
    <w:rsid w:val="004A5D36"/>
    <w:rsid w:val="004A5EAE"/>
    <w:rsid w:val="004A6011"/>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A43"/>
    <w:rsid w:val="004B1C42"/>
    <w:rsid w:val="004B1D3F"/>
    <w:rsid w:val="004B1FFB"/>
    <w:rsid w:val="004B2700"/>
    <w:rsid w:val="004B2B31"/>
    <w:rsid w:val="004B2C33"/>
    <w:rsid w:val="004B2CDB"/>
    <w:rsid w:val="004B2DE8"/>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B7EE1"/>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E6A"/>
    <w:rsid w:val="004C4F33"/>
    <w:rsid w:val="004C521E"/>
    <w:rsid w:val="004C5283"/>
    <w:rsid w:val="004C566C"/>
    <w:rsid w:val="004C5AF0"/>
    <w:rsid w:val="004C5C34"/>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1"/>
    <w:rsid w:val="004D40D5"/>
    <w:rsid w:val="004D42FA"/>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E0033"/>
    <w:rsid w:val="004E00F1"/>
    <w:rsid w:val="004E0211"/>
    <w:rsid w:val="004E03BE"/>
    <w:rsid w:val="004E03F3"/>
    <w:rsid w:val="004E0459"/>
    <w:rsid w:val="004E0540"/>
    <w:rsid w:val="004E071E"/>
    <w:rsid w:val="004E0CD0"/>
    <w:rsid w:val="004E1260"/>
    <w:rsid w:val="004E1CBB"/>
    <w:rsid w:val="004E1D07"/>
    <w:rsid w:val="004E209D"/>
    <w:rsid w:val="004E21D3"/>
    <w:rsid w:val="004E2BB0"/>
    <w:rsid w:val="004E2E33"/>
    <w:rsid w:val="004E2EAC"/>
    <w:rsid w:val="004E2F51"/>
    <w:rsid w:val="004E3065"/>
    <w:rsid w:val="004E3579"/>
    <w:rsid w:val="004E3892"/>
    <w:rsid w:val="004E3B0E"/>
    <w:rsid w:val="004E3FD8"/>
    <w:rsid w:val="004E471C"/>
    <w:rsid w:val="004E4EF1"/>
    <w:rsid w:val="004E50E0"/>
    <w:rsid w:val="004E524E"/>
    <w:rsid w:val="004E53AE"/>
    <w:rsid w:val="004E5449"/>
    <w:rsid w:val="004E5597"/>
    <w:rsid w:val="004E5710"/>
    <w:rsid w:val="004E5788"/>
    <w:rsid w:val="004E5C61"/>
    <w:rsid w:val="004E6000"/>
    <w:rsid w:val="004E6158"/>
    <w:rsid w:val="004E6184"/>
    <w:rsid w:val="004E6463"/>
    <w:rsid w:val="004E6CB0"/>
    <w:rsid w:val="004E6CEA"/>
    <w:rsid w:val="004E6ED3"/>
    <w:rsid w:val="004E6F18"/>
    <w:rsid w:val="004E7692"/>
    <w:rsid w:val="004E76A5"/>
    <w:rsid w:val="004E7B7F"/>
    <w:rsid w:val="004E7EF9"/>
    <w:rsid w:val="004F01B4"/>
    <w:rsid w:val="004F020A"/>
    <w:rsid w:val="004F1115"/>
    <w:rsid w:val="004F133C"/>
    <w:rsid w:val="004F13D2"/>
    <w:rsid w:val="004F1443"/>
    <w:rsid w:val="004F152A"/>
    <w:rsid w:val="004F1633"/>
    <w:rsid w:val="004F180E"/>
    <w:rsid w:val="004F18ED"/>
    <w:rsid w:val="004F198B"/>
    <w:rsid w:val="004F1A00"/>
    <w:rsid w:val="004F1AEF"/>
    <w:rsid w:val="004F2802"/>
    <w:rsid w:val="004F2826"/>
    <w:rsid w:val="004F2AA6"/>
    <w:rsid w:val="004F2B9C"/>
    <w:rsid w:val="004F2CCE"/>
    <w:rsid w:val="004F2E20"/>
    <w:rsid w:val="004F359A"/>
    <w:rsid w:val="004F3D6D"/>
    <w:rsid w:val="004F3DD1"/>
    <w:rsid w:val="004F4B9E"/>
    <w:rsid w:val="004F4E53"/>
    <w:rsid w:val="004F58AB"/>
    <w:rsid w:val="004F5D6E"/>
    <w:rsid w:val="004F5EBB"/>
    <w:rsid w:val="004F6142"/>
    <w:rsid w:val="004F6AFE"/>
    <w:rsid w:val="004F6F20"/>
    <w:rsid w:val="004F72D4"/>
    <w:rsid w:val="004F735F"/>
    <w:rsid w:val="004F7373"/>
    <w:rsid w:val="004F73A5"/>
    <w:rsid w:val="004F76A6"/>
    <w:rsid w:val="004F7C51"/>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05E"/>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7F6"/>
    <w:rsid w:val="00507CAF"/>
    <w:rsid w:val="00510374"/>
    <w:rsid w:val="00510444"/>
    <w:rsid w:val="005107A3"/>
    <w:rsid w:val="0051092A"/>
    <w:rsid w:val="00510939"/>
    <w:rsid w:val="00510D19"/>
    <w:rsid w:val="005111D1"/>
    <w:rsid w:val="00511599"/>
    <w:rsid w:val="005119D6"/>
    <w:rsid w:val="00511C9C"/>
    <w:rsid w:val="00511E67"/>
    <w:rsid w:val="00512404"/>
    <w:rsid w:val="00512747"/>
    <w:rsid w:val="00512A7B"/>
    <w:rsid w:val="00512D39"/>
    <w:rsid w:val="00513B23"/>
    <w:rsid w:val="00513B8C"/>
    <w:rsid w:val="00513F8F"/>
    <w:rsid w:val="0051426D"/>
    <w:rsid w:val="005147E7"/>
    <w:rsid w:val="005149A1"/>
    <w:rsid w:val="005149A2"/>
    <w:rsid w:val="00514CEE"/>
    <w:rsid w:val="005150E4"/>
    <w:rsid w:val="00515507"/>
    <w:rsid w:val="00515708"/>
    <w:rsid w:val="00515746"/>
    <w:rsid w:val="00515907"/>
    <w:rsid w:val="00515C9F"/>
    <w:rsid w:val="00515E2B"/>
    <w:rsid w:val="00516B96"/>
    <w:rsid w:val="00516E9E"/>
    <w:rsid w:val="005173A4"/>
    <w:rsid w:val="005179DC"/>
    <w:rsid w:val="0052001B"/>
    <w:rsid w:val="00520AE3"/>
    <w:rsid w:val="00520E03"/>
    <w:rsid w:val="00521294"/>
    <w:rsid w:val="00521534"/>
    <w:rsid w:val="00521D65"/>
    <w:rsid w:val="00521DD9"/>
    <w:rsid w:val="005220D0"/>
    <w:rsid w:val="005221A4"/>
    <w:rsid w:val="00522201"/>
    <w:rsid w:val="005224E2"/>
    <w:rsid w:val="005226A6"/>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2A8"/>
    <w:rsid w:val="00527489"/>
    <w:rsid w:val="00527860"/>
    <w:rsid w:val="00527A58"/>
    <w:rsid w:val="0053012B"/>
    <w:rsid w:val="0053066C"/>
    <w:rsid w:val="00530911"/>
    <w:rsid w:val="00530AFD"/>
    <w:rsid w:val="00531249"/>
    <w:rsid w:val="00531562"/>
    <w:rsid w:val="0053173A"/>
    <w:rsid w:val="00531824"/>
    <w:rsid w:val="00531AF4"/>
    <w:rsid w:val="00531EA2"/>
    <w:rsid w:val="00531F71"/>
    <w:rsid w:val="005321BF"/>
    <w:rsid w:val="00532292"/>
    <w:rsid w:val="00532462"/>
    <w:rsid w:val="00532B16"/>
    <w:rsid w:val="00532C9D"/>
    <w:rsid w:val="00533085"/>
    <w:rsid w:val="00533215"/>
    <w:rsid w:val="005334E4"/>
    <w:rsid w:val="0053393D"/>
    <w:rsid w:val="00533BD2"/>
    <w:rsid w:val="00533C61"/>
    <w:rsid w:val="00533F4E"/>
    <w:rsid w:val="00533F77"/>
    <w:rsid w:val="00534238"/>
    <w:rsid w:val="005347FB"/>
    <w:rsid w:val="00534963"/>
    <w:rsid w:val="005349EB"/>
    <w:rsid w:val="00534AA6"/>
    <w:rsid w:val="00534C83"/>
    <w:rsid w:val="00534EE4"/>
    <w:rsid w:val="00534EE7"/>
    <w:rsid w:val="00535A27"/>
    <w:rsid w:val="00535B60"/>
    <w:rsid w:val="00536070"/>
    <w:rsid w:val="00536189"/>
    <w:rsid w:val="005366B6"/>
    <w:rsid w:val="005368CB"/>
    <w:rsid w:val="00536AEE"/>
    <w:rsid w:val="00536D47"/>
    <w:rsid w:val="00537092"/>
    <w:rsid w:val="00537354"/>
    <w:rsid w:val="00537640"/>
    <w:rsid w:val="005378AB"/>
    <w:rsid w:val="00537989"/>
    <w:rsid w:val="00537BE9"/>
    <w:rsid w:val="00537FB8"/>
    <w:rsid w:val="00540055"/>
    <w:rsid w:val="00540147"/>
    <w:rsid w:val="00540495"/>
    <w:rsid w:val="00540725"/>
    <w:rsid w:val="00540C7A"/>
    <w:rsid w:val="00541652"/>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2BA"/>
    <w:rsid w:val="00546310"/>
    <w:rsid w:val="0054650F"/>
    <w:rsid w:val="00546738"/>
    <w:rsid w:val="005467D6"/>
    <w:rsid w:val="00546942"/>
    <w:rsid w:val="00546D13"/>
    <w:rsid w:val="00546D63"/>
    <w:rsid w:val="005471A3"/>
    <w:rsid w:val="00547476"/>
    <w:rsid w:val="0054788B"/>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973"/>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808"/>
    <w:rsid w:val="005569D2"/>
    <w:rsid w:val="00556B35"/>
    <w:rsid w:val="00556F79"/>
    <w:rsid w:val="005570E7"/>
    <w:rsid w:val="0055718D"/>
    <w:rsid w:val="00557464"/>
    <w:rsid w:val="0055771C"/>
    <w:rsid w:val="00557A2C"/>
    <w:rsid w:val="00557CAB"/>
    <w:rsid w:val="00557D87"/>
    <w:rsid w:val="00560096"/>
    <w:rsid w:val="00560AC9"/>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1C81"/>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D32"/>
    <w:rsid w:val="00575F2F"/>
    <w:rsid w:val="005760C5"/>
    <w:rsid w:val="00576574"/>
    <w:rsid w:val="0057666F"/>
    <w:rsid w:val="0057668B"/>
    <w:rsid w:val="005766EA"/>
    <w:rsid w:val="00576A37"/>
    <w:rsid w:val="00576CBA"/>
    <w:rsid w:val="00577368"/>
    <w:rsid w:val="005773FF"/>
    <w:rsid w:val="00577540"/>
    <w:rsid w:val="00577754"/>
    <w:rsid w:val="005777AC"/>
    <w:rsid w:val="005777B2"/>
    <w:rsid w:val="00577BBD"/>
    <w:rsid w:val="00577EB4"/>
    <w:rsid w:val="00577F34"/>
    <w:rsid w:val="0058018B"/>
    <w:rsid w:val="00580293"/>
    <w:rsid w:val="00580CFE"/>
    <w:rsid w:val="00581081"/>
    <w:rsid w:val="005815D2"/>
    <w:rsid w:val="005818D4"/>
    <w:rsid w:val="005819D7"/>
    <w:rsid w:val="00581AB8"/>
    <w:rsid w:val="00581B2E"/>
    <w:rsid w:val="00581C6E"/>
    <w:rsid w:val="00581F40"/>
    <w:rsid w:val="0058299F"/>
    <w:rsid w:val="005829CC"/>
    <w:rsid w:val="00582E3D"/>
    <w:rsid w:val="00583147"/>
    <w:rsid w:val="005836D0"/>
    <w:rsid w:val="00583DEF"/>
    <w:rsid w:val="00583E78"/>
    <w:rsid w:val="00584024"/>
    <w:rsid w:val="00584496"/>
    <w:rsid w:val="005845C4"/>
    <w:rsid w:val="005852AA"/>
    <w:rsid w:val="00585867"/>
    <w:rsid w:val="00585C3A"/>
    <w:rsid w:val="00586013"/>
    <w:rsid w:val="0058628A"/>
    <w:rsid w:val="00586505"/>
    <w:rsid w:val="00586806"/>
    <w:rsid w:val="00586B34"/>
    <w:rsid w:val="00587117"/>
    <w:rsid w:val="0058759B"/>
    <w:rsid w:val="0058764D"/>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86C"/>
    <w:rsid w:val="00595308"/>
    <w:rsid w:val="00595639"/>
    <w:rsid w:val="00595777"/>
    <w:rsid w:val="00595DA2"/>
    <w:rsid w:val="00595E51"/>
    <w:rsid w:val="00595E99"/>
    <w:rsid w:val="00596308"/>
    <w:rsid w:val="0059647A"/>
    <w:rsid w:val="00596757"/>
    <w:rsid w:val="005968C4"/>
    <w:rsid w:val="0059715B"/>
    <w:rsid w:val="00597605"/>
    <w:rsid w:val="005978AF"/>
    <w:rsid w:val="00597A36"/>
    <w:rsid w:val="00597B30"/>
    <w:rsid w:val="00597DF6"/>
    <w:rsid w:val="00597F3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1D59"/>
    <w:rsid w:val="005A2229"/>
    <w:rsid w:val="005A23BE"/>
    <w:rsid w:val="005A320D"/>
    <w:rsid w:val="005A36E3"/>
    <w:rsid w:val="005A3A31"/>
    <w:rsid w:val="005A3FFF"/>
    <w:rsid w:val="005A416C"/>
    <w:rsid w:val="005A447C"/>
    <w:rsid w:val="005A46BD"/>
    <w:rsid w:val="005A53FA"/>
    <w:rsid w:val="005A588D"/>
    <w:rsid w:val="005A59CF"/>
    <w:rsid w:val="005A5B54"/>
    <w:rsid w:val="005A5D58"/>
    <w:rsid w:val="005A670B"/>
    <w:rsid w:val="005A6965"/>
    <w:rsid w:val="005A6A3A"/>
    <w:rsid w:val="005A6E87"/>
    <w:rsid w:val="005A7F72"/>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238"/>
    <w:rsid w:val="005C376D"/>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20FC"/>
    <w:rsid w:val="005D24A2"/>
    <w:rsid w:val="005D25D7"/>
    <w:rsid w:val="005D2A49"/>
    <w:rsid w:val="005D2CB0"/>
    <w:rsid w:val="005D2EE8"/>
    <w:rsid w:val="005D3534"/>
    <w:rsid w:val="005D3707"/>
    <w:rsid w:val="005D3AF0"/>
    <w:rsid w:val="005D3BF1"/>
    <w:rsid w:val="005D3BFD"/>
    <w:rsid w:val="005D46E9"/>
    <w:rsid w:val="005D5012"/>
    <w:rsid w:val="005D5E46"/>
    <w:rsid w:val="005D609E"/>
    <w:rsid w:val="005D64A5"/>
    <w:rsid w:val="005D6929"/>
    <w:rsid w:val="005D6B30"/>
    <w:rsid w:val="005D6E1C"/>
    <w:rsid w:val="005D7539"/>
    <w:rsid w:val="005D7E04"/>
    <w:rsid w:val="005E0082"/>
    <w:rsid w:val="005E02E2"/>
    <w:rsid w:val="005E06E1"/>
    <w:rsid w:val="005E0899"/>
    <w:rsid w:val="005E0E2A"/>
    <w:rsid w:val="005E1393"/>
    <w:rsid w:val="005E1411"/>
    <w:rsid w:val="005E192F"/>
    <w:rsid w:val="005E2B8B"/>
    <w:rsid w:val="005E3035"/>
    <w:rsid w:val="005E35FD"/>
    <w:rsid w:val="005E383F"/>
    <w:rsid w:val="005E3B77"/>
    <w:rsid w:val="005E412A"/>
    <w:rsid w:val="005E43F5"/>
    <w:rsid w:val="005E48F7"/>
    <w:rsid w:val="005E4BA4"/>
    <w:rsid w:val="005E4CCB"/>
    <w:rsid w:val="005E5317"/>
    <w:rsid w:val="005E544C"/>
    <w:rsid w:val="005E5563"/>
    <w:rsid w:val="005E5777"/>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F17"/>
    <w:rsid w:val="005F1FE4"/>
    <w:rsid w:val="005F2586"/>
    <w:rsid w:val="005F3200"/>
    <w:rsid w:val="005F369B"/>
    <w:rsid w:val="005F3955"/>
    <w:rsid w:val="005F3C65"/>
    <w:rsid w:val="005F3C7E"/>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5FDE"/>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0DEC"/>
    <w:rsid w:val="00601072"/>
    <w:rsid w:val="00601097"/>
    <w:rsid w:val="0060111F"/>
    <w:rsid w:val="00601290"/>
    <w:rsid w:val="006012E4"/>
    <w:rsid w:val="0060144E"/>
    <w:rsid w:val="00601923"/>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D70"/>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806"/>
    <w:rsid w:val="00614BDD"/>
    <w:rsid w:val="00614C2F"/>
    <w:rsid w:val="00614CB4"/>
    <w:rsid w:val="00614D1E"/>
    <w:rsid w:val="00614E35"/>
    <w:rsid w:val="00614EB0"/>
    <w:rsid w:val="00615178"/>
    <w:rsid w:val="0061524B"/>
    <w:rsid w:val="0061565F"/>
    <w:rsid w:val="006159FA"/>
    <w:rsid w:val="00615BDB"/>
    <w:rsid w:val="00615FCD"/>
    <w:rsid w:val="006162D2"/>
    <w:rsid w:val="00616885"/>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835"/>
    <w:rsid w:val="00635A9B"/>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3C0"/>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F5"/>
    <w:rsid w:val="006466B5"/>
    <w:rsid w:val="00647092"/>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236C"/>
    <w:rsid w:val="00653217"/>
    <w:rsid w:val="00653273"/>
    <w:rsid w:val="00653876"/>
    <w:rsid w:val="00653FED"/>
    <w:rsid w:val="0065424F"/>
    <w:rsid w:val="006544F6"/>
    <w:rsid w:val="00654CB5"/>
    <w:rsid w:val="00654F53"/>
    <w:rsid w:val="00654FE2"/>
    <w:rsid w:val="00655070"/>
    <w:rsid w:val="00655223"/>
    <w:rsid w:val="00655780"/>
    <w:rsid w:val="0065594D"/>
    <w:rsid w:val="006561FF"/>
    <w:rsid w:val="00656D6F"/>
    <w:rsid w:val="00657005"/>
    <w:rsid w:val="006572FB"/>
    <w:rsid w:val="006577D0"/>
    <w:rsid w:val="006578D9"/>
    <w:rsid w:val="00657CD1"/>
    <w:rsid w:val="00657F67"/>
    <w:rsid w:val="006601A3"/>
    <w:rsid w:val="006605DC"/>
    <w:rsid w:val="006611DC"/>
    <w:rsid w:val="00661456"/>
    <w:rsid w:val="0066146F"/>
    <w:rsid w:val="00661636"/>
    <w:rsid w:val="00661CC2"/>
    <w:rsid w:val="00662166"/>
    <w:rsid w:val="00662DC0"/>
    <w:rsid w:val="00662FA2"/>
    <w:rsid w:val="0066310A"/>
    <w:rsid w:val="0066343A"/>
    <w:rsid w:val="006635DC"/>
    <w:rsid w:val="0066381A"/>
    <w:rsid w:val="00663908"/>
    <w:rsid w:val="00663DAB"/>
    <w:rsid w:val="00664678"/>
    <w:rsid w:val="006646F4"/>
    <w:rsid w:val="00664895"/>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6C"/>
    <w:rsid w:val="00684AA1"/>
    <w:rsid w:val="00684F07"/>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901DB"/>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547"/>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E17"/>
    <w:rsid w:val="006A3F94"/>
    <w:rsid w:val="006A40D0"/>
    <w:rsid w:val="006A4113"/>
    <w:rsid w:val="006A49B5"/>
    <w:rsid w:val="006A4FF3"/>
    <w:rsid w:val="006A57AA"/>
    <w:rsid w:val="006A5A45"/>
    <w:rsid w:val="006A5CA3"/>
    <w:rsid w:val="006A5D5C"/>
    <w:rsid w:val="006A5E26"/>
    <w:rsid w:val="006A69A3"/>
    <w:rsid w:val="006A6B3F"/>
    <w:rsid w:val="006A6B69"/>
    <w:rsid w:val="006A6F5F"/>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DE3"/>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0F2"/>
    <w:rsid w:val="006C03B2"/>
    <w:rsid w:val="006C09DD"/>
    <w:rsid w:val="006C0D9A"/>
    <w:rsid w:val="006C1142"/>
    <w:rsid w:val="006C13FC"/>
    <w:rsid w:val="006C1513"/>
    <w:rsid w:val="006C1A29"/>
    <w:rsid w:val="006C1B3F"/>
    <w:rsid w:val="006C1F77"/>
    <w:rsid w:val="006C23DC"/>
    <w:rsid w:val="006C25C0"/>
    <w:rsid w:val="006C2604"/>
    <w:rsid w:val="006C2C20"/>
    <w:rsid w:val="006C2C4F"/>
    <w:rsid w:val="006C3309"/>
    <w:rsid w:val="006C365E"/>
    <w:rsid w:val="006C375B"/>
    <w:rsid w:val="006C3901"/>
    <w:rsid w:val="006C3A80"/>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C9"/>
    <w:rsid w:val="006C7CAC"/>
    <w:rsid w:val="006C7FB9"/>
    <w:rsid w:val="006D01D2"/>
    <w:rsid w:val="006D0846"/>
    <w:rsid w:val="006D0C09"/>
    <w:rsid w:val="006D195F"/>
    <w:rsid w:val="006D19E0"/>
    <w:rsid w:val="006D1A23"/>
    <w:rsid w:val="006D1DFA"/>
    <w:rsid w:val="006D1F1A"/>
    <w:rsid w:val="006D2039"/>
    <w:rsid w:val="006D21FF"/>
    <w:rsid w:val="006D2349"/>
    <w:rsid w:val="006D24FD"/>
    <w:rsid w:val="006D2AE4"/>
    <w:rsid w:val="006D31AF"/>
    <w:rsid w:val="006D31DD"/>
    <w:rsid w:val="006D3416"/>
    <w:rsid w:val="006D35CD"/>
    <w:rsid w:val="006D3D01"/>
    <w:rsid w:val="006D3DDE"/>
    <w:rsid w:val="006D4133"/>
    <w:rsid w:val="006D4373"/>
    <w:rsid w:val="006D4559"/>
    <w:rsid w:val="006D492A"/>
    <w:rsid w:val="006D493C"/>
    <w:rsid w:val="006D4D21"/>
    <w:rsid w:val="006D533F"/>
    <w:rsid w:val="006D5457"/>
    <w:rsid w:val="006D59BF"/>
    <w:rsid w:val="006D5A62"/>
    <w:rsid w:val="006D5EC2"/>
    <w:rsid w:val="006D5FEF"/>
    <w:rsid w:val="006D667A"/>
    <w:rsid w:val="006D6689"/>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D3A"/>
    <w:rsid w:val="006E3E37"/>
    <w:rsid w:val="006E4646"/>
    <w:rsid w:val="006E4674"/>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209"/>
    <w:rsid w:val="006F044A"/>
    <w:rsid w:val="006F05C2"/>
    <w:rsid w:val="006F090B"/>
    <w:rsid w:val="006F0A88"/>
    <w:rsid w:val="006F0C12"/>
    <w:rsid w:val="006F0DB2"/>
    <w:rsid w:val="006F0E38"/>
    <w:rsid w:val="006F0EB1"/>
    <w:rsid w:val="006F1D86"/>
    <w:rsid w:val="006F1E30"/>
    <w:rsid w:val="006F1F34"/>
    <w:rsid w:val="006F20A6"/>
    <w:rsid w:val="006F291E"/>
    <w:rsid w:val="006F2BB4"/>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5FF"/>
    <w:rsid w:val="006F6689"/>
    <w:rsid w:val="006F6740"/>
    <w:rsid w:val="006F6FEA"/>
    <w:rsid w:val="006F6FFD"/>
    <w:rsid w:val="006F70E1"/>
    <w:rsid w:val="006F746D"/>
    <w:rsid w:val="006F767D"/>
    <w:rsid w:val="006F7A92"/>
    <w:rsid w:val="006F7CE6"/>
    <w:rsid w:val="006F7E42"/>
    <w:rsid w:val="006F7EC5"/>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1D"/>
    <w:rsid w:val="007047A7"/>
    <w:rsid w:val="007050A6"/>
    <w:rsid w:val="007056ED"/>
    <w:rsid w:val="00705914"/>
    <w:rsid w:val="00705D28"/>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D93"/>
    <w:rsid w:val="00712FDB"/>
    <w:rsid w:val="007131B0"/>
    <w:rsid w:val="0071371F"/>
    <w:rsid w:val="0071374D"/>
    <w:rsid w:val="00714065"/>
    <w:rsid w:val="00714186"/>
    <w:rsid w:val="00714312"/>
    <w:rsid w:val="0071459D"/>
    <w:rsid w:val="00714796"/>
    <w:rsid w:val="00714D6A"/>
    <w:rsid w:val="007151F9"/>
    <w:rsid w:val="007152EF"/>
    <w:rsid w:val="0071531D"/>
    <w:rsid w:val="00715709"/>
    <w:rsid w:val="00715F3A"/>
    <w:rsid w:val="00715F49"/>
    <w:rsid w:val="0071606F"/>
    <w:rsid w:val="00716324"/>
    <w:rsid w:val="007163BF"/>
    <w:rsid w:val="0071649C"/>
    <w:rsid w:val="00716FC0"/>
    <w:rsid w:val="00717267"/>
    <w:rsid w:val="0071785D"/>
    <w:rsid w:val="00717890"/>
    <w:rsid w:val="007178EE"/>
    <w:rsid w:val="00717EAD"/>
    <w:rsid w:val="007202C0"/>
    <w:rsid w:val="00720668"/>
    <w:rsid w:val="00720759"/>
    <w:rsid w:val="007210FB"/>
    <w:rsid w:val="007215A9"/>
    <w:rsid w:val="0072190B"/>
    <w:rsid w:val="007219E8"/>
    <w:rsid w:val="00721B34"/>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0207"/>
    <w:rsid w:val="00730D95"/>
    <w:rsid w:val="0073128B"/>
    <w:rsid w:val="0073150C"/>
    <w:rsid w:val="0073171A"/>
    <w:rsid w:val="007325D3"/>
    <w:rsid w:val="00732885"/>
    <w:rsid w:val="007328CB"/>
    <w:rsid w:val="00732D0F"/>
    <w:rsid w:val="00733858"/>
    <w:rsid w:val="00733A80"/>
    <w:rsid w:val="00733BC0"/>
    <w:rsid w:val="00733D81"/>
    <w:rsid w:val="00734309"/>
    <w:rsid w:val="00734563"/>
    <w:rsid w:val="0073497A"/>
    <w:rsid w:val="0073532A"/>
    <w:rsid w:val="0073637C"/>
    <w:rsid w:val="00736886"/>
    <w:rsid w:val="007369C7"/>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3AF"/>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61D8"/>
    <w:rsid w:val="00747446"/>
    <w:rsid w:val="00747BD8"/>
    <w:rsid w:val="00747F05"/>
    <w:rsid w:val="0075038A"/>
    <w:rsid w:val="007503B7"/>
    <w:rsid w:val="007509F9"/>
    <w:rsid w:val="00751574"/>
    <w:rsid w:val="00751851"/>
    <w:rsid w:val="00751F76"/>
    <w:rsid w:val="00752497"/>
    <w:rsid w:val="007524E2"/>
    <w:rsid w:val="00752D69"/>
    <w:rsid w:val="00752FE7"/>
    <w:rsid w:val="007531F5"/>
    <w:rsid w:val="0075327B"/>
    <w:rsid w:val="00753F01"/>
    <w:rsid w:val="0075412E"/>
    <w:rsid w:val="00754747"/>
    <w:rsid w:val="00754D51"/>
    <w:rsid w:val="00754D64"/>
    <w:rsid w:val="00754FCC"/>
    <w:rsid w:val="00755420"/>
    <w:rsid w:val="00755516"/>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D24"/>
    <w:rsid w:val="00761E2B"/>
    <w:rsid w:val="0076200C"/>
    <w:rsid w:val="00762924"/>
    <w:rsid w:val="0076295C"/>
    <w:rsid w:val="00762FA7"/>
    <w:rsid w:val="00763055"/>
    <w:rsid w:val="00763432"/>
    <w:rsid w:val="00763448"/>
    <w:rsid w:val="00763545"/>
    <w:rsid w:val="007637E3"/>
    <w:rsid w:val="00763EB7"/>
    <w:rsid w:val="00764043"/>
    <w:rsid w:val="00764EB8"/>
    <w:rsid w:val="00765098"/>
    <w:rsid w:val="007650A8"/>
    <w:rsid w:val="0076539C"/>
    <w:rsid w:val="00765832"/>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67DCC"/>
    <w:rsid w:val="007700C8"/>
    <w:rsid w:val="00770272"/>
    <w:rsid w:val="00770506"/>
    <w:rsid w:val="00770CEE"/>
    <w:rsid w:val="00771504"/>
    <w:rsid w:val="007720D6"/>
    <w:rsid w:val="007720FE"/>
    <w:rsid w:val="007721AD"/>
    <w:rsid w:val="00772774"/>
    <w:rsid w:val="007728F4"/>
    <w:rsid w:val="00772957"/>
    <w:rsid w:val="00772D15"/>
    <w:rsid w:val="00772DC3"/>
    <w:rsid w:val="00773223"/>
    <w:rsid w:val="007732B1"/>
    <w:rsid w:val="007733C4"/>
    <w:rsid w:val="00773E06"/>
    <w:rsid w:val="00773EC7"/>
    <w:rsid w:val="00774339"/>
    <w:rsid w:val="007743A1"/>
    <w:rsid w:val="007744EF"/>
    <w:rsid w:val="00774E4B"/>
    <w:rsid w:val="00775BAA"/>
    <w:rsid w:val="00775EFD"/>
    <w:rsid w:val="00775F11"/>
    <w:rsid w:val="00776679"/>
    <w:rsid w:val="007768F2"/>
    <w:rsid w:val="00776C10"/>
    <w:rsid w:val="00776E9E"/>
    <w:rsid w:val="00776F98"/>
    <w:rsid w:val="00777053"/>
    <w:rsid w:val="00777145"/>
    <w:rsid w:val="007775DE"/>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DAD"/>
    <w:rsid w:val="00781F5B"/>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C6D"/>
    <w:rsid w:val="00786D7D"/>
    <w:rsid w:val="00787394"/>
    <w:rsid w:val="007875E7"/>
    <w:rsid w:val="007875F8"/>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F70"/>
    <w:rsid w:val="007946E2"/>
    <w:rsid w:val="007947FB"/>
    <w:rsid w:val="00794DFE"/>
    <w:rsid w:val="00794F41"/>
    <w:rsid w:val="0079530F"/>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8E4"/>
    <w:rsid w:val="007A3BF2"/>
    <w:rsid w:val="007A4338"/>
    <w:rsid w:val="007A4AF1"/>
    <w:rsid w:val="007A4B32"/>
    <w:rsid w:val="007A5050"/>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A7CF7"/>
    <w:rsid w:val="007B0253"/>
    <w:rsid w:val="007B073B"/>
    <w:rsid w:val="007B0E3C"/>
    <w:rsid w:val="007B1061"/>
    <w:rsid w:val="007B185E"/>
    <w:rsid w:val="007B1F9A"/>
    <w:rsid w:val="007B2074"/>
    <w:rsid w:val="007B2638"/>
    <w:rsid w:val="007B2752"/>
    <w:rsid w:val="007B2BB1"/>
    <w:rsid w:val="007B3476"/>
    <w:rsid w:val="007B3658"/>
    <w:rsid w:val="007B3CC4"/>
    <w:rsid w:val="007B448A"/>
    <w:rsid w:val="007B44DC"/>
    <w:rsid w:val="007B4543"/>
    <w:rsid w:val="007B4937"/>
    <w:rsid w:val="007B4D3D"/>
    <w:rsid w:val="007B4E66"/>
    <w:rsid w:val="007B4FF0"/>
    <w:rsid w:val="007B5237"/>
    <w:rsid w:val="007B550D"/>
    <w:rsid w:val="007B5A66"/>
    <w:rsid w:val="007B6136"/>
    <w:rsid w:val="007B630D"/>
    <w:rsid w:val="007B65B3"/>
    <w:rsid w:val="007B67E6"/>
    <w:rsid w:val="007B7309"/>
    <w:rsid w:val="007B77FB"/>
    <w:rsid w:val="007B7D58"/>
    <w:rsid w:val="007C0239"/>
    <w:rsid w:val="007C0880"/>
    <w:rsid w:val="007C0AE5"/>
    <w:rsid w:val="007C0BD2"/>
    <w:rsid w:val="007C0F3A"/>
    <w:rsid w:val="007C0FA1"/>
    <w:rsid w:val="007C1065"/>
    <w:rsid w:val="007C14BD"/>
    <w:rsid w:val="007C1537"/>
    <w:rsid w:val="007C198E"/>
    <w:rsid w:val="007C1B94"/>
    <w:rsid w:val="007C1F6C"/>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5EB9"/>
    <w:rsid w:val="007C64BC"/>
    <w:rsid w:val="007C661B"/>
    <w:rsid w:val="007C6939"/>
    <w:rsid w:val="007C6941"/>
    <w:rsid w:val="007C6D8A"/>
    <w:rsid w:val="007C6E75"/>
    <w:rsid w:val="007C779D"/>
    <w:rsid w:val="007C7EF3"/>
    <w:rsid w:val="007D020B"/>
    <w:rsid w:val="007D0278"/>
    <w:rsid w:val="007D02A6"/>
    <w:rsid w:val="007D06D3"/>
    <w:rsid w:val="007D098C"/>
    <w:rsid w:val="007D0C6A"/>
    <w:rsid w:val="007D0D35"/>
    <w:rsid w:val="007D11B6"/>
    <w:rsid w:val="007D149C"/>
    <w:rsid w:val="007D163B"/>
    <w:rsid w:val="007D16BD"/>
    <w:rsid w:val="007D1B7C"/>
    <w:rsid w:val="007D214A"/>
    <w:rsid w:val="007D2A09"/>
    <w:rsid w:val="007D2C9F"/>
    <w:rsid w:val="007D31A6"/>
    <w:rsid w:val="007D357E"/>
    <w:rsid w:val="007D37BF"/>
    <w:rsid w:val="007D3889"/>
    <w:rsid w:val="007D39D7"/>
    <w:rsid w:val="007D3BE0"/>
    <w:rsid w:val="007D3C97"/>
    <w:rsid w:val="007D4632"/>
    <w:rsid w:val="007D478D"/>
    <w:rsid w:val="007D4838"/>
    <w:rsid w:val="007D4956"/>
    <w:rsid w:val="007D4FF2"/>
    <w:rsid w:val="007D512C"/>
    <w:rsid w:val="007D526F"/>
    <w:rsid w:val="007D5777"/>
    <w:rsid w:val="007D5CFA"/>
    <w:rsid w:val="007D5F54"/>
    <w:rsid w:val="007D6310"/>
    <w:rsid w:val="007D673F"/>
    <w:rsid w:val="007D68F4"/>
    <w:rsid w:val="007D6CE5"/>
    <w:rsid w:val="007D6E8A"/>
    <w:rsid w:val="007D6EF0"/>
    <w:rsid w:val="007D7042"/>
    <w:rsid w:val="007D7059"/>
    <w:rsid w:val="007D7749"/>
    <w:rsid w:val="007E0162"/>
    <w:rsid w:val="007E05CC"/>
    <w:rsid w:val="007E0960"/>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7B3"/>
    <w:rsid w:val="007E5AA5"/>
    <w:rsid w:val="007E5AFB"/>
    <w:rsid w:val="007E5B4B"/>
    <w:rsid w:val="007E5D16"/>
    <w:rsid w:val="007E5FFD"/>
    <w:rsid w:val="007E60AC"/>
    <w:rsid w:val="007E6239"/>
    <w:rsid w:val="007E6735"/>
    <w:rsid w:val="007E67F4"/>
    <w:rsid w:val="007E6CD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CE"/>
    <w:rsid w:val="007F2ED4"/>
    <w:rsid w:val="007F32FB"/>
    <w:rsid w:val="007F3960"/>
    <w:rsid w:val="007F3BD3"/>
    <w:rsid w:val="007F3FB0"/>
    <w:rsid w:val="007F43A9"/>
    <w:rsid w:val="007F4484"/>
    <w:rsid w:val="007F4994"/>
    <w:rsid w:val="007F49DD"/>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BEA"/>
    <w:rsid w:val="00810DE9"/>
    <w:rsid w:val="00810EAE"/>
    <w:rsid w:val="00811036"/>
    <w:rsid w:val="008111E4"/>
    <w:rsid w:val="00811C6A"/>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4C"/>
    <w:rsid w:val="00821A22"/>
    <w:rsid w:val="00821DC0"/>
    <w:rsid w:val="00822131"/>
    <w:rsid w:val="00822E13"/>
    <w:rsid w:val="00823335"/>
    <w:rsid w:val="008235E4"/>
    <w:rsid w:val="008237B2"/>
    <w:rsid w:val="00823B2A"/>
    <w:rsid w:val="00823F61"/>
    <w:rsid w:val="0082449E"/>
    <w:rsid w:val="008245CE"/>
    <w:rsid w:val="008246AA"/>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9E"/>
    <w:rsid w:val="00827AE9"/>
    <w:rsid w:val="00827AF3"/>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1C4"/>
    <w:rsid w:val="0084296C"/>
    <w:rsid w:val="00842B07"/>
    <w:rsid w:val="00842B49"/>
    <w:rsid w:val="00842DB7"/>
    <w:rsid w:val="008431FF"/>
    <w:rsid w:val="00843238"/>
    <w:rsid w:val="0084387F"/>
    <w:rsid w:val="0084390B"/>
    <w:rsid w:val="00843AFD"/>
    <w:rsid w:val="00843B2C"/>
    <w:rsid w:val="008444F8"/>
    <w:rsid w:val="008445D2"/>
    <w:rsid w:val="00844750"/>
    <w:rsid w:val="00844808"/>
    <w:rsid w:val="00844864"/>
    <w:rsid w:val="00844B7D"/>
    <w:rsid w:val="00844CE2"/>
    <w:rsid w:val="008455F4"/>
    <w:rsid w:val="00845A92"/>
    <w:rsid w:val="00845F51"/>
    <w:rsid w:val="00846106"/>
    <w:rsid w:val="00846467"/>
    <w:rsid w:val="00846661"/>
    <w:rsid w:val="008466C7"/>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3EFE"/>
    <w:rsid w:val="00864305"/>
    <w:rsid w:val="008647D5"/>
    <w:rsid w:val="00864A9F"/>
    <w:rsid w:val="00864C02"/>
    <w:rsid w:val="008650AB"/>
    <w:rsid w:val="00865696"/>
    <w:rsid w:val="008657A5"/>
    <w:rsid w:val="00865D02"/>
    <w:rsid w:val="00865D4C"/>
    <w:rsid w:val="00865DE1"/>
    <w:rsid w:val="00866BFD"/>
    <w:rsid w:val="00866FEA"/>
    <w:rsid w:val="00867255"/>
    <w:rsid w:val="008678F0"/>
    <w:rsid w:val="00870018"/>
    <w:rsid w:val="00870455"/>
    <w:rsid w:val="00870793"/>
    <w:rsid w:val="00870A1C"/>
    <w:rsid w:val="00871029"/>
    <w:rsid w:val="00871096"/>
    <w:rsid w:val="00871171"/>
    <w:rsid w:val="008711F8"/>
    <w:rsid w:val="008712E8"/>
    <w:rsid w:val="00871372"/>
    <w:rsid w:val="00871D14"/>
    <w:rsid w:val="008722B0"/>
    <w:rsid w:val="0087250F"/>
    <w:rsid w:val="00872C7C"/>
    <w:rsid w:val="00872F39"/>
    <w:rsid w:val="00873463"/>
    <w:rsid w:val="008734E7"/>
    <w:rsid w:val="0087354E"/>
    <w:rsid w:val="00873BF0"/>
    <w:rsid w:val="00873C85"/>
    <w:rsid w:val="008742CE"/>
    <w:rsid w:val="008745AE"/>
    <w:rsid w:val="0087484E"/>
    <w:rsid w:val="00874E33"/>
    <w:rsid w:val="00874FAC"/>
    <w:rsid w:val="0087504C"/>
    <w:rsid w:val="008754DE"/>
    <w:rsid w:val="00875755"/>
    <w:rsid w:val="0087588F"/>
    <w:rsid w:val="00875905"/>
    <w:rsid w:val="00875F79"/>
    <w:rsid w:val="00875FBD"/>
    <w:rsid w:val="00876AC7"/>
    <w:rsid w:val="0087763F"/>
    <w:rsid w:val="00877AD7"/>
    <w:rsid w:val="00877C45"/>
    <w:rsid w:val="00877C57"/>
    <w:rsid w:val="00877FA3"/>
    <w:rsid w:val="008804C9"/>
    <w:rsid w:val="00880D84"/>
    <w:rsid w:val="00880E95"/>
    <w:rsid w:val="008810DF"/>
    <w:rsid w:val="008810FA"/>
    <w:rsid w:val="00881842"/>
    <w:rsid w:val="00881F28"/>
    <w:rsid w:val="008825EC"/>
    <w:rsid w:val="008829DC"/>
    <w:rsid w:val="00882BB1"/>
    <w:rsid w:val="00882FE1"/>
    <w:rsid w:val="00883004"/>
    <w:rsid w:val="008835B8"/>
    <w:rsid w:val="00883936"/>
    <w:rsid w:val="00883ED6"/>
    <w:rsid w:val="00884255"/>
    <w:rsid w:val="0088425B"/>
    <w:rsid w:val="00884AD8"/>
    <w:rsid w:val="00884CDF"/>
    <w:rsid w:val="00884E9F"/>
    <w:rsid w:val="0088549D"/>
    <w:rsid w:val="0088579F"/>
    <w:rsid w:val="00885D5D"/>
    <w:rsid w:val="00885EC9"/>
    <w:rsid w:val="00885F46"/>
    <w:rsid w:val="00885F7A"/>
    <w:rsid w:val="00886223"/>
    <w:rsid w:val="0088651F"/>
    <w:rsid w:val="008871C0"/>
    <w:rsid w:val="008876DF"/>
    <w:rsid w:val="00887771"/>
    <w:rsid w:val="00887844"/>
    <w:rsid w:val="00887FEF"/>
    <w:rsid w:val="00890786"/>
    <w:rsid w:val="008907B2"/>
    <w:rsid w:val="00890A5B"/>
    <w:rsid w:val="00890BCD"/>
    <w:rsid w:val="00890E0D"/>
    <w:rsid w:val="00890F04"/>
    <w:rsid w:val="00890FBE"/>
    <w:rsid w:val="00891C65"/>
    <w:rsid w:val="00891F63"/>
    <w:rsid w:val="00892253"/>
    <w:rsid w:val="008922DF"/>
    <w:rsid w:val="00892492"/>
    <w:rsid w:val="00893024"/>
    <w:rsid w:val="00893B3B"/>
    <w:rsid w:val="00893BA4"/>
    <w:rsid w:val="00893D63"/>
    <w:rsid w:val="00893DB3"/>
    <w:rsid w:val="00893E9F"/>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9EB"/>
    <w:rsid w:val="008A2AAE"/>
    <w:rsid w:val="008A2CBE"/>
    <w:rsid w:val="008A2F26"/>
    <w:rsid w:val="008A2FA0"/>
    <w:rsid w:val="008A3033"/>
    <w:rsid w:val="008A36ED"/>
    <w:rsid w:val="008A3898"/>
    <w:rsid w:val="008A40C1"/>
    <w:rsid w:val="008A42D8"/>
    <w:rsid w:val="008A457F"/>
    <w:rsid w:val="008A4AE7"/>
    <w:rsid w:val="008A4DAC"/>
    <w:rsid w:val="008A4E04"/>
    <w:rsid w:val="008A53C3"/>
    <w:rsid w:val="008A59E9"/>
    <w:rsid w:val="008A5E89"/>
    <w:rsid w:val="008A62D3"/>
    <w:rsid w:val="008A631F"/>
    <w:rsid w:val="008A668F"/>
    <w:rsid w:val="008A6F9D"/>
    <w:rsid w:val="008A72A4"/>
    <w:rsid w:val="008A758D"/>
    <w:rsid w:val="008A75C5"/>
    <w:rsid w:val="008A7669"/>
    <w:rsid w:val="008A76CB"/>
    <w:rsid w:val="008A7819"/>
    <w:rsid w:val="008A7826"/>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4C93"/>
    <w:rsid w:val="008B4D6D"/>
    <w:rsid w:val="008B5448"/>
    <w:rsid w:val="008B5577"/>
    <w:rsid w:val="008B60ED"/>
    <w:rsid w:val="008B66CB"/>
    <w:rsid w:val="008B6E5C"/>
    <w:rsid w:val="008B7D7B"/>
    <w:rsid w:val="008C083D"/>
    <w:rsid w:val="008C0881"/>
    <w:rsid w:val="008C1161"/>
    <w:rsid w:val="008C1876"/>
    <w:rsid w:val="008C1EA3"/>
    <w:rsid w:val="008C2236"/>
    <w:rsid w:val="008C2426"/>
    <w:rsid w:val="008C2453"/>
    <w:rsid w:val="008C2504"/>
    <w:rsid w:val="008C26B4"/>
    <w:rsid w:val="008C2767"/>
    <w:rsid w:val="008C4B47"/>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91C"/>
    <w:rsid w:val="008D0A7A"/>
    <w:rsid w:val="008D0B27"/>
    <w:rsid w:val="008D13DC"/>
    <w:rsid w:val="008D149D"/>
    <w:rsid w:val="008D1E23"/>
    <w:rsid w:val="008D2209"/>
    <w:rsid w:val="008D2461"/>
    <w:rsid w:val="008D2983"/>
    <w:rsid w:val="008D3208"/>
    <w:rsid w:val="008D4318"/>
    <w:rsid w:val="008D453F"/>
    <w:rsid w:val="008D459E"/>
    <w:rsid w:val="008D4650"/>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35B"/>
    <w:rsid w:val="008E252E"/>
    <w:rsid w:val="008E2562"/>
    <w:rsid w:val="008E2B47"/>
    <w:rsid w:val="008E2FAD"/>
    <w:rsid w:val="008E335D"/>
    <w:rsid w:val="008E378A"/>
    <w:rsid w:val="008E3F52"/>
    <w:rsid w:val="008E412D"/>
    <w:rsid w:val="008E451A"/>
    <w:rsid w:val="008E4B81"/>
    <w:rsid w:val="008E4CA5"/>
    <w:rsid w:val="008E4D0D"/>
    <w:rsid w:val="008E4D10"/>
    <w:rsid w:val="008E4D5D"/>
    <w:rsid w:val="008E5412"/>
    <w:rsid w:val="008E5625"/>
    <w:rsid w:val="008E5B5F"/>
    <w:rsid w:val="008E5D5A"/>
    <w:rsid w:val="008E624A"/>
    <w:rsid w:val="008E6788"/>
    <w:rsid w:val="008E699E"/>
    <w:rsid w:val="008E6F35"/>
    <w:rsid w:val="008E7364"/>
    <w:rsid w:val="008E743E"/>
    <w:rsid w:val="008E7684"/>
    <w:rsid w:val="008E76C6"/>
    <w:rsid w:val="008E7D1B"/>
    <w:rsid w:val="008E7DB3"/>
    <w:rsid w:val="008E7F9D"/>
    <w:rsid w:val="008F0090"/>
    <w:rsid w:val="008F01AB"/>
    <w:rsid w:val="008F044C"/>
    <w:rsid w:val="008F0460"/>
    <w:rsid w:val="008F06E5"/>
    <w:rsid w:val="008F0BA6"/>
    <w:rsid w:val="008F0C84"/>
    <w:rsid w:val="008F0FC8"/>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C05"/>
    <w:rsid w:val="00905F49"/>
    <w:rsid w:val="00906100"/>
    <w:rsid w:val="009067B8"/>
    <w:rsid w:val="00906EED"/>
    <w:rsid w:val="00907071"/>
    <w:rsid w:val="0090715C"/>
    <w:rsid w:val="00907862"/>
    <w:rsid w:val="0090797E"/>
    <w:rsid w:val="00907BEE"/>
    <w:rsid w:val="00910628"/>
    <w:rsid w:val="00910874"/>
    <w:rsid w:val="009108A7"/>
    <w:rsid w:val="00910FDB"/>
    <w:rsid w:val="0091181E"/>
    <w:rsid w:val="00911A5A"/>
    <w:rsid w:val="00911B21"/>
    <w:rsid w:val="00911E1A"/>
    <w:rsid w:val="0091225D"/>
    <w:rsid w:val="009123B9"/>
    <w:rsid w:val="009126E1"/>
    <w:rsid w:val="00912A63"/>
    <w:rsid w:val="00912A96"/>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2078E"/>
    <w:rsid w:val="00920848"/>
    <w:rsid w:val="00920FA1"/>
    <w:rsid w:val="009216BF"/>
    <w:rsid w:val="009218C8"/>
    <w:rsid w:val="009218D2"/>
    <w:rsid w:val="00921A44"/>
    <w:rsid w:val="00921A74"/>
    <w:rsid w:val="00921C9F"/>
    <w:rsid w:val="00921D1B"/>
    <w:rsid w:val="00921ED5"/>
    <w:rsid w:val="00921FA1"/>
    <w:rsid w:val="0092216B"/>
    <w:rsid w:val="0092226E"/>
    <w:rsid w:val="009225B6"/>
    <w:rsid w:val="00922710"/>
    <w:rsid w:val="0092299F"/>
    <w:rsid w:val="00922E98"/>
    <w:rsid w:val="00923151"/>
    <w:rsid w:val="009235CF"/>
    <w:rsid w:val="00923821"/>
    <w:rsid w:val="00924108"/>
    <w:rsid w:val="00924491"/>
    <w:rsid w:val="00924AB6"/>
    <w:rsid w:val="00924CEC"/>
    <w:rsid w:val="0092507E"/>
    <w:rsid w:val="009250C2"/>
    <w:rsid w:val="00925267"/>
    <w:rsid w:val="0092580A"/>
    <w:rsid w:val="00925836"/>
    <w:rsid w:val="0092591F"/>
    <w:rsid w:val="00925B66"/>
    <w:rsid w:val="00925DD1"/>
    <w:rsid w:val="00925FA3"/>
    <w:rsid w:val="009260D2"/>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94F"/>
    <w:rsid w:val="009329A6"/>
    <w:rsid w:val="00932A20"/>
    <w:rsid w:val="00933D61"/>
    <w:rsid w:val="00933DE4"/>
    <w:rsid w:val="00934044"/>
    <w:rsid w:val="009348AD"/>
    <w:rsid w:val="00934FFD"/>
    <w:rsid w:val="009359C0"/>
    <w:rsid w:val="00935A10"/>
    <w:rsid w:val="00935B52"/>
    <w:rsid w:val="009360F7"/>
    <w:rsid w:val="0093634D"/>
    <w:rsid w:val="00936D07"/>
    <w:rsid w:val="009370A6"/>
    <w:rsid w:val="00937AC7"/>
    <w:rsid w:val="00937AD3"/>
    <w:rsid w:val="00937D15"/>
    <w:rsid w:val="00940A1E"/>
    <w:rsid w:val="00940A5D"/>
    <w:rsid w:val="00940BCB"/>
    <w:rsid w:val="00940D85"/>
    <w:rsid w:val="00940DF4"/>
    <w:rsid w:val="00940FB5"/>
    <w:rsid w:val="00941259"/>
    <w:rsid w:val="00941450"/>
    <w:rsid w:val="0094148B"/>
    <w:rsid w:val="009415FC"/>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BFA"/>
    <w:rsid w:val="00945E49"/>
    <w:rsid w:val="009462D8"/>
    <w:rsid w:val="00946388"/>
    <w:rsid w:val="0094663A"/>
    <w:rsid w:val="00946A8A"/>
    <w:rsid w:val="00946AA5"/>
    <w:rsid w:val="00946C4B"/>
    <w:rsid w:val="00946FC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CD6"/>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0EEB"/>
    <w:rsid w:val="00961023"/>
    <w:rsid w:val="009612F1"/>
    <w:rsid w:val="00961685"/>
    <w:rsid w:val="009616FA"/>
    <w:rsid w:val="00961A61"/>
    <w:rsid w:val="00961B13"/>
    <w:rsid w:val="00961E6D"/>
    <w:rsid w:val="00961F21"/>
    <w:rsid w:val="009621FF"/>
    <w:rsid w:val="00962B4A"/>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691D"/>
    <w:rsid w:val="00966EC4"/>
    <w:rsid w:val="0096758A"/>
    <w:rsid w:val="0096766C"/>
    <w:rsid w:val="00967851"/>
    <w:rsid w:val="00967BCA"/>
    <w:rsid w:val="00967D2D"/>
    <w:rsid w:val="00970DF3"/>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48B"/>
    <w:rsid w:val="00977852"/>
    <w:rsid w:val="009778AB"/>
    <w:rsid w:val="00980403"/>
    <w:rsid w:val="009804CB"/>
    <w:rsid w:val="009809DD"/>
    <w:rsid w:val="00980A94"/>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156"/>
    <w:rsid w:val="00984206"/>
    <w:rsid w:val="00984C8E"/>
    <w:rsid w:val="00984D95"/>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1F42"/>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6A8B"/>
    <w:rsid w:val="00996CD4"/>
    <w:rsid w:val="00996D9B"/>
    <w:rsid w:val="0099731A"/>
    <w:rsid w:val="009975D0"/>
    <w:rsid w:val="009979D6"/>
    <w:rsid w:val="00997AE2"/>
    <w:rsid w:val="00997CA3"/>
    <w:rsid w:val="009A0212"/>
    <w:rsid w:val="009A031F"/>
    <w:rsid w:val="009A0C1F"/>
    <w:rsid w:val="009A1238"/>
    <w:rsid w:val="009A12A5"/>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B5C"/>
    <w:rsid w:val="009A6C74"/>
    <w:rsid w:val="009A6C90"/>
    <w:rsid w:val="009A6EE7"/>
    <w:rsid w:val="009A7154"/>
    <w:rsid w:val="009A751E"/>
    <w:rsid w:val="009A78D1"/>
    <w:rsid w:val="009A7DFB"/>
    <w:rsid w:val="009A7E08"/>
    <w:rsid w:val="009B003C"/>
    <w:rsid w:val="009B01D6"/>
    <w:rsid w:val="009B107E"/>
    <w:rsid w:val="009B1823"/>
    <w:rsid w:val="009B2E47"/>
    <w:rsid w:val="009B3685"/>
    <w:rsid w:val="009B3745"/>
    <w:rsid w:val="009B3C79"/>
    <w:rsid w:val="009B3D47"/>
    <w:rsid w:val="009B3FC1"/>
    <w:rsid w:val="009B3FD4"/>
    <w:rsid w:val="009B4250"/>
    <w:rsid w:val="009B4821"/>
    <w:rsid w:val="009B49A3"/>
    <w:rsid w:val="009B4C1C"/>
    <w:rsid w:val="009B4C24"/>
    <w:rsid w:val="009B5821"/>
    <w:rsid w:val="009B70E9"/>
    <w:rsid w:val="009B7564"/>
    <w:rsid w:val="009B7BB7"/>
    <w:rsid w:val="009B7C44"/>
    <w:rsid w:val="009B7EB2"/>
    <w:rsid w:val="009B7FFA"/>
    <w:rsid w:val="009C00EF"/>
    <w:rsid w:val="009C0BC1"/>
    <w:rsid w:val="009C0DBE"/>
    <w:rsid w:val="009C19BC"/>
    <w:rsid w:val="009C19D2"/>
    <w:rsid w:val="009C1B60"/>
    <w:rsid w:val="009C1D4B"/>
    <w:rsid w:val="009C1E0C"/>
    <w:rsid w:val="009C1E84"/>
    <w:rsid w:val="009C2811"/>
    <w:rsid w:val="009C281C"/>
    <w:rsid w:val="009C2AB0"/>
    <w:rsid w:val="009C35C7"/>
    <w:rsid w:val="009C3D6F"/>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457"/>
    <w:rsid w:val="009D5BBF"/>
    <w:rsid w:val="009D60B8"/>
    <w:rsid w:val="009D610C"/>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B8"/>
    <w:rsid w:val="009E23E3"/>
    <w:rsid w:val="009E2BE6"/>
    <w:rsid w:val="009E2DD3"/>
    <w:rsid w:val="009E2EAE"/>
    <w:rsid w:val="009E2F97"/>
    <w:rsid w:val="009E3644"/>
    <w:rsid w:val="009E3790"/>
    <w:rsid w:val="009E3C31"/>
    <w:rsid w:val="009E4414"/>
    <w:rsid w:val="009E457F"/>
    <w:rsid w:val="009E4FCC"/>
    <w:rsid w:val="009E50D4"/>
    <w:rsid w:val="009E5180"/>
    <w:rsid w:val="009E5656"/>
    <w:rsid w:val="009E5AB4"/>
    <w:rsid w:val="009E5CEF"/>
    <w:rsid w:val="009E641D"/>
    <w:rsid w:val="009E6A64"/>
    <w:rsid w:val="009E6FBA"/>
    <w:rsid w:val="009E6FC8"/>
    <w:rsid w:val="009E7E9B"/>
    <w:rsid w:val="009F0258"/>
    <w:rsid w:val="009F02E1"/>
    <w:rsid w:val="009F056D"/>
    <w:rsid w:val="009F07FC"/>
    <w:rsid w:val="009F0992"/>
    <w:rsid w:val="009F0CD1"/>
    <w:rsid w:val="009F1737"/>
    <w:rsid w:val="009F187B"/>
    <w:rsid w:val="009F1933"/>
    <w:rsid w:val="009F1A4C"/>
    <w:rsid w:val="009F20E6"/>
    <w:rsid w:val="009F2A94"/>
    <w:rsid w:val="009F2AAF"/>
    <w:rsid w:val="009F2E7E"/>
    <w:rsid w:val="009F3A4B"/>
    <w:rsid w:val="009F4196"/>
    <w:rsid w:val="009F41E1"/>
    <w:rsid w:val="009F4271"/>
    <w:rsid w:val="009F4375"/>
    <w:rsid w:val="009F479C"/>
    <w:rsid w:val="009F4F05"/>
    <w:rsid w:val="009F526F"/>
    <w:rsid w:val="009F5606"/>
    <w:rsid w:val="009F5768"/>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405"/>
    <w:rsid w:val="00A02B26"/>
    <w:rsid w:val="00A02BEC"/>
    <w:rsid w:val="00A02C96"/>
    <w:rsid w:val="00A02D52"/>
    <w:rsid w:val="00A02FBC"/>
    <w:rsid w:val="00A03058"/>
    <w:rsid w:val="00A03705"/>
    <w:rsid w:val="00A03A1D"/>
    <w:rsid w:val="00A03A91"/>
    <w:rsid w:val="00A03C6A"/>
    <w:rsid w:val="00A043B9"/>
    <w:rsid w:val="00A044DC"/>
    <w:rsid w:val="00A04541"/>
    <w:rsid w:val="00A04A92"/>
    <w:rsid w:val="00A04DB3"/>
    <w:rsid w:val="00A04E65"/>
    <w:rsid w:val="00A0559E"/>
    <w:rsid w:val="00A05A1F"/>
    <w:rsid w:val="00A05AA6"/>
    <w:rsid w:val="00A05B1A"/>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522"/>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0816"/>
    <w:rsid w:val="00A2104B"/>
    <w:rsid w:val="00A210E9"/>
    <w:rsid w:val="00A218AE"/>
    <w:rsid w:val="00A21A9D"/>
    <w:rsid w:val="00A21AAA"/>
    <w:rsid w:val="00A21E51"/>
    <w:rsid w:val="00A22132"/>
    <w:rsid w:val="00A22207"/>
    <w:rsid w:val="00A22664"/>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B68"/>
    <w:rsid w:val="00A25C9D"/>
    <w:rsid w:val="00A261E4"/>
    <w:rsid w:val="00A265D9"/>
    <w:rsid w:val="00A267F1"/>
    <w:rsid w:val="00A26883"/>
    <w:rsid w:val="00A26C75"/>
    <w:rsid w:val="00A26D60"/>
    <w:rsid w:val="00A26EE0"/>
    <w:rsid w:val="00A2702B"/>
    <w:rsid w:val="00A2761F"/>
    <w:rsid w:val="00A279DC"/>
    <w:rsid w:val="00A30703"/>
    <w:rsid w:val="00A30BAE"/>
    <w:rsid w:val="00A30DAF"/>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00"/>
    <w:rsid w:val="00A3393A"/>
    <w:rsid w:val="00A33B63"/>
    <w:rsid w:val="00A34005"/>
    <w:rsid w:val="00A34685"/>
    <w:rsid w:val="00A34DA0"/>
    <w:rsid w:val="00A35A0B"/>
    <w:rsid w:val="00A35BD0"/>
    <w:rsid w:val="00A362CB"/>
    <w:rsid w:val="00A3692C"/>
    <w:rsid w:val="00A369E2"/>
    <w:rsid w:val="00A3747D"/>
    <w:rsid w:val="00A37A59"/>
    <w:rsid w:val="00A37C59"/>
    <w:rsid w:val="00A404B5"/>
    <w:rsid w:val="00A40531"/>
    <w:rsid w:val="00A40660"/>
    <w:rsid w:val="00A411A6"/>
    <w:rsid w:val="00A41821"/>
    <w:rsid w:val="00A41C5C"/>
    <w:rsid w:val="00A41EF0"/>
    <w:rsid w:val="00A422A2"/>
    <w:rsid w:val="00A42659"/>
    <w:rsid w:val="00A42ACB"/>
    <w:rsid w:val="00A4339C"/>
    <w:rsid w:val="00A4392A"/>
    <w:rsid w:val="00A4424E"/>
    <w:rsid w:val="00A44253"/>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735"/>
    <w:rsid w:val="00A56947"/>
    <w:rsid w:val="00A56C2C"/>
    <w:rsid w:val="00A56D0D"/>
    <w:rsid w:val="00A57311"/>
    <w:rsid w:val="00A5776A"/>
    <w:rsid w:val="00A57BD6"/>
    <w:rsid w:val="00A57F96"/>
    <w:rsid w:val="00A606AC"/>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31AB"/>
    <w:rsid w:val="00A63244"/>
    <w:rsid w:val="00A6367F"/>
    <w:rsid w:val="00A63872"/>
    <w:rsid w:val="00A63A37"/>
    <w:rsid w:val="00A63C62"/>
    <w:rsid w:val="00A64196"/>
    <w:rsid w:val="00A64393"/>
    <w:rsid w:val="00A644C6"/>
    <w:rsid w:val="00A645FF"/>
    <w:rsid w:val="00A647A9"/>
    <w:rsid w:val="00A649B4"/>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70A35"/>
    <w:rsid w:val="00A7141F"/>
    <w:rsid w:val="00A719BB"/>
    <w:rsid w:val="00A71AA2"/>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CB9"/>
    <w:rsid w:val="00A74E04"/>
    <w:rsid w:val="00A74F6C"/>
    <w:rsid w:val="00A750CB"/>
    <w:rsid w:val="00A75212"/>
    <w:rsid w:val="00A7528A"/>
    <w:rsid w:val="00A7535C"/>
    <w:rsid w:val="00A7538B"/>
    <w:rsid w:val="00A75920"/>
    <w:rsid w:val="00A75DE7"/>
    <w:rsid w:val="00A7615F"/>
    <w:rsid w:val="00A7634B"/>
    <w:rsid w:val="00A764B9"/>
    <w:rsid w:val="00A76696"/>
    <w:rsid w:val="00A76A52"/>
    <w:rsid w:val="00A76BF2"/>
    <w:rsid w:val="00A76CE5"/>
    <w:rsid w:val="00A770A5"/>
    <w:rsid w:val="00A7735F"/>
    <w:rsid w:val="00A806D6"/>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628"/>
    <w:rsid w:val="00A85661"/>
    <w:rsid w:val="00A85FFF"/>
    <w:rsid w:val="00A867E7"/>
    <w:rsid w:val="00A86890"/>
    <w:rsid w:val="00A86A13"/>
    <w:rsid w:val="00A86F67"/>
    <w:rsid w:val="00A86FEF"/>
    <w:rsid w:val="00A8706A"/>
    <w:rsid w:val="00A87482"/>
    <w:rsid w:val="00A87936"/>
    <w:rsid w:val="00A879E8"/>
    <w:rsid w:val="00A87B18"/>
    <w:rsid w:val="00A87F4E"/>
    <w:rsid w:val="00A87F92"/>
    <w:rsid w:val="00A90134"/>
    <w:rsid w:val="00A901CB"/>
    <w:rsid w:val="00A905F1"/>
    <w:rsid w:val="00A9063D"/>
    <w:rsid w:val="00A90A45"/>
    <w:rsid w:val="00A90E27"/>
    <w:rsid w:val="00A90EB6"/>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695"/>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264"/>
    <w:rsid w:val="00AA158B"/>
    <w:rsid w:val="00AA1740"/>
    <w:rsid w:val="00AA1C8E"/>
    <w:rsid w:val="00AA1D12"/>
    <w:rsid w:val="00AA1EEC"/>
    <w:rsid w:val="00AA1F78"/>
    <w:rsid w:val="00AA210C"/>
    <w:rsid w:val="00AA2712"/>
    <w:rsid w:val="00AA271C"/>
    <w:rsid w:val="00AA29F2"/>
    <w:rsid w:val="00AA2CD8"/>
    <w:rsid w:val="00AA30A2"/>
    <w:rsid w:val="00AA32EC"/>
    <w:rsid w:val="00AA461D"/>
    <w:rsid w:val="00AA4B83"/>
    <w:rsid w:val="00AA4C09"/>
    <w:rsid w:val="00AA4F41"/>
    <w:rsid w:val="00AA553A"/>
    <w:rsid w:val="00AA5584"/>
    <w:rsid w:val="00AA576F"/>
    <w:rsid w:val="00AA57CC"/>
    <w:rsid w:val="00AA5A12"/>
    <w:rsid w:val="00AA5C0D"/>
    <w:rsid w:val="00AA5DA5"/>
    <w:rsid w:val="00AA5F48"/>
    <w:rsid w:val="00AA6026"/>
    <w:rsid w:val="00AA6206"/>
    <w:rsid w:val="00AA630A"/>
    <w:rsid w:val="00AA69EF"/>
    <w:rsid w:val="00AA6F21"/>
    <w:rsid w:val="00AA6F9A"/>
    <w:rsid w:val="00AA6FF4"/>
    <w:rsid w:val="00AA7C4F"/>
    <w:rsid w:val="00AA7EF3"/>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D0B"/>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61E6"/>
    <w:rsid w:val="00AB642C"/>
    <w:rsid w:val="00AB644A"/>
    <w:rsid w:val="00AB6458"/>
    <w:rsid w:val="00AB6CA0"/>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153"/>
    <w:rsid w:val="00AC3431"/>
    <w:rsid w:val="00AC37CC"/>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1DC"/>
    <w:rsid w:val="00AD6980"/>
    <w:rsid w:val="00AD6C7F"/>
    <w:rsid w:val="00AD70C9"/>
    <w:rsid w:val="00AD732B"/>
    <w:rsid w:val="00AD75A6"/>
    <w:rsid w:val="00AD7927"/>
    <w:rsid w:val="00AD7E17"/>
    <w:rsid w:val="00AE0160"/>
    <w:rsid w:val="00AE0332"/>
    <w:rsid w:val="00AE03CD"/>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22B"/>
    <w:rsid w:val="00AE3627"/>
    <w:rsid w:val="00AE36EA"/>
    <w:rsid w:val="00AE3839"/>
    <w:rsid w:val="00AE3967"/>
    <w:rsid w:val="00AE3AF4"/>
    <w:rsid w:val="00AE4297"/>
    <w:rsid w:val="00AE42D1"/>
    <w:rsid w:val="00AE4557"/>
    <w:rsid w:val="00AE492A"/>
    <w:rsid w:val="00AE4A1F"/>
    <w:rsid w:val="00AE4C55"/>
    <w:rsid w:val="00AE4F01"/>
    <w:rsid w:val="00AE51E4"/>
    <w:rsid w:val="00AE5210"/>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D5C"/>
    <w:rsid w:val="00AF5F78"/>
    <w:rsid w:val="00AF6369"/>
    <w:rsid w:val="00AF63A9"/>
    <w:rsid w:val="00AF6591"/>
    <w:rsid w:val="00AF66F1"/>
    <w:rsid w:val="00AF6A76"/>
    <w:rsid w:val="00AF6B1B"/>
    <w:rsid w:val="00AF7363"/>
    <w:rsid w:val="00AF738A"/>
    <w:rsid w:val="00AF766E"/>
    <w:rsid w:val="00AF7F09"/>
    <w:rsid w:val="00AF7F0E"/>
    <w:rsid w:val="00B002BA"/>
    <w:rsid w:val="00B00306"/>
    <w:rsid w:val="00B008C6"/>
    <w:rsid w:val="00B00D62"/>
    <w:rsid w:val="00B010D3"/>
    <w:rsid w:val="00B010F4"/>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18B"/>
    <w:rsid w:val="00B04AD7"/>
    <w:rsid w:val="00B04D36"/>
    <w:rsid w:val="00B04F11"/>
    <w:rsid w:val="00B0540A"/>
    <w:rsid w:val="00B05688"/>
    <w:rsid w:val="00B0588E"/>
    <w:rsid w:val="00B05A44"/>
    <w:rsid w:val="00B064C3"/>
    <w:rsid w:val="00B066CF"/>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015"/>
    <w:rsid w:val="00B137BE"/>
    <w:rsid w:val="00B13829"/>
    <w:rsid w:val="00B13A51"/>
    <w:rsid w:val="00B13A6E"/>
    <w:rsid w:val="00B13F1F"/>
    <w:rsid w:val="00B1417B"/>
    <w:rsid w:val="00B14251"/>
    <w:rsid w:val="00B1478D"/>
    <w:rsid w:val="00B147CC"/>
    <w:rsid w:val="00B14996"/>
    <w:rsid w:val="00B15141"/>
    <w:rsid w:val="00B151C6"/>
    <w:rsid w:val="00B16084"/>
    <w:rsid w:val="00B16770"/>
    <w:rsid w:val="00B16815"/>
    <w:rsid w:val="00B16B5F"/>
    <w:rsid w:val="00B16D08"/>
    <w:rsid w:val="00B16D6A"/>
    <w:rsid w:val="00B1736C"/>
    <w:rsid w:val="00B17431"/>
    <w:rsid w:val="00B17744"/>
    <w:rsid w:val="00B17D3E"/>
    <w:rsid w:val="00B20057"/>
    <w:rsid w:val="00B20215"/>
    <w:rsid w:val="00B2043A"/>
    <w:rsid w:val="00B20470"/>
    <w:rsid w:val="00B2070F"/>
    <w:rsid w:val="00B20CD7"/>
    <w:rsid w:val="00B20E2B"/>
    <w:rsid w:val="00B20F3D"/>
    <w:rsid w:val="00B21016"/>
    <w:rsid w:val="00B213E5"/>
    <w:rsid w:val="00B214D2"/>
    <w:rsid w:val="00B215F9"/>
    <w:rsid w:val="00B217CD"/>
    <w:rsid w:val="00B21B67"/>
    <w:rsid w:val="00B21CA7"/>
    <w:rsid w:val="00B220B3"/>
    <w:rsid w:val="00B22472"/>
    <w:rsid w:val="00B2254E"/>
    <w:rsid w:val="00B22D0E"/>
    <w:rsid w:val="00B22D73"/>
    <w:rsid w:val="00B233A9"/>
    <w:rsid w:val="00B239CC"/>
    <w:rsid w:val="00B23C57"/>
    <w:rsid w:val="00B23E2E"/>
    <w:rsid w:val="00B240FE"/>
    <w:rsid w:val="00B242EE"/>
    <w:rsid w:val="00B24F49"/>
    <w:rsid w:val="00B25585"/>
    <w:rsid w:val="00B2571D"/>
    <w:rsid w:val="00B25A0E"/>
    <w:rsid w:val="00B25A70"/>
    <w:rsid w:val="00B25BD8"/>
    <w:rsid w:val="00B25E1D"/>
    <w:rsid w:val="00B25F9A"/>
    <w:rsid w:val="00B2613A"/>
    <w:rsid w:val="00B263BE"/>
    <w:rsid w:val="00B269CE"/>
    <w:rsid w:val="00B2745D"/>
    <w:rsid w:val="00B2757B"/>
    <w:rsid w:val="00B27B60"/>
    <w:rsid w:val="00B27D54"/>
    <w:rsid w:val="00B30205"/>
    <w:rsid w:val="00B30CF6"/>
    <w:rsid w:val="00B30DF3"/>
    <w:rsid w:val="00B30F03"/>
    <w:rsid w:val="00B317EB"/>
    <w:rsid w:val="00B31E5F"/>
    <w:rsid w:val="00B322A7"/>
    <w:rsid w:val="00B32607"/>
    <w:rsid w:val="00B326BE"/>
    <w:rsid w:val="00B32AC0"/>
    <w:rsid w:val="00B32F7F"/>
    <w:rsid w:val="00B33126"/>
    <w:rsid w:val="00B336AE"/>
    <w:rsid w:val="00B338AB"/>
    <w:rsid w:val="00B338CE"/>
    <w:rsid w:val="00B3396B"/>
    <w:rsid w:val="00B33BE6"/>
    <w:rsid w:val="00B33F7C"/>
    <w:rsid w:val="00B34390"/>
    <w:rsid w:val="00B34C10"/>
    <w:rsid w:val="00B3539A"/>
    <w:rsid w:val="00B35933"/>
    <w:rsid w:val="00B35978"/>
    <w:rsid w:val="00B35AFF"/>
    <w:rsid w:val="00B35CB3"/>
    <w:rsid w:val="00B35F8E"/>
    <w:rsid w:val="00B35FE7"/>
    <w:rsid w:val="00B36391"/>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D4D"/>
    <w:rsid w:val="00B440CF"/>
    <w:rsid w:val="00B4418B"/>
    <w:rsid w:val="00B44359"/>
    <w:rsid w:val="00B443C5"/>
    <w:rsid w:val="00B4485B"/>
    <w:rsid w:val="00B44B05"/>
    <w:rsid w:val="00B451F1"/>
    <w:rsid w:val="00B45369"/>
    <w:rsid w:val="00B45A61"/>
    <w:rsid w:val="00B45AC0"/>
    <w:rsid w:val="00B46501"/>
    <w:rsid w:val="00B46BCE"/>
    <w:rsid w:val="00B47008"/>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238F"/>
    <w:rsid w:val="00B529F2"/>
    <w:rsid w:val="00B52B81"/>
    <w:rsid w:val="00B52EC8"/>
    <w:rsid w:val="00B5370C"/>
    <w:rsid w:val="00B53AB0"/>
    <w:rsid w:val="00B53EF5"/>
    <w:rsid w:val="00B542BA"/>
    <w:rsid w:val="00B54989"/>
    <w:rsid w:val="00B54CC5"/>
    <w:rsid w:val="00B553CF"/>
    <w:rsid w:val="00B553EA"/>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064"/>
    <w:rsid w:val="00B6112D"/>
    <w:rsid w:val="00B6156C"/>
    <w:rsid w:val="00B619AF"/>
    <w:rsid w:val="00B61B3C"/>
    <w:rsid w:val="00B61B85"/>
    <w:rsid w:val="00B61CFF"/>
    <w:rsid w:val="00B61F08"/>
    <w:rsid w:val="00B61F70"/>
    <w:rsid w:val="00B6237B"/>
    <w:rsid w:val="00B62894"/>
    <w:rsid w:val="00B62A18"/>
    <w:rsid w:val="00B63870"/>
    <w:rsid w:val="00B63CD0"/>
    <w:rsid w:val="00B640AB"/>
    <w:rsid w:val="00B64124"/>
    <w:rsid w:val="00B64398"/>
    <w:rsid w:val="00B64484"/>
    <w:rsid w:val="00B645F8"/>
    <w:rsid w:val="00B64A44"/>
    <w:rsid w:val="00B652B0"/>
    <w:rsid w:val="00B65771"/>
    <w:rsid w:val="00B6619C"/>
    <w:rsid w:val="00B662CF"/>
    <w:rsid w:val="00B664EC"/>
    <w:rsid w:val="00B665F4"/>
    <w:rsid w:val="00B66801"/>
    <w:rsid w:val="00B668B4"/>
    <w:rsid w:val="00B66FFC"/>
    <w:rsid w:val="00B6704C"/>
    <w:rsid w:val="00B6796C"/>
    <w:rsid w:val="00B67B0B"/>
    <w:rsid w:val="00B67B2B"/>
    <w:rsid w:val="00B67E51"/>
    <w:rsid w:val="00B67F03"/>
    <w:rsid w:val="00B7021B"/>
    <w:rsid w:val="00B70333"/>
    <w:rsid w:val="00B70A49"/>
    <w:rsid w:val="00B70EDB"/>
    <w:rsid w:val="00B70EE5"/>
    <w:rsid w:val="00B71A5D"/>
    <w:rsid w:val="00B7273B"/>
    <w:rsid w:val="00B727B8"/>
    <w:rsid w:val="00B729AA"/>
    <w:rsid w:val="00B72B43"/>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20AE"/>
    <w:rsid w:val="00B821AB"/>
    <w:rsid w:val="00B82205"/>
    <w:rsid w:val="00B82A8C"/>
    <w:rsid w:val="00B830F7"/>
    <w:rsid w:val="00B8321E"/>
    <w:rsid w:val="00B8370D"/>
    <w:rsid w:val="00B837F5"/>
    <w:rsid w:val="00B83AC3"/>
    <w:rsid w:val="00B83CBF"/>
    <w:rsid w:val="00B83DAC"/>
    <w:rsid w:val="00B83DF6"/>
    <w:rsid w:val="00B847F4"/>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9E5"/>
    <w:rsid w:val="00B95A04"/>
    <w:rsid w:val="00B95C49"/>
    <w:rsid w:val="00B95EEF"/>
    <w:rsid w:val="00B95FD7"/>
    <w:rsid w:val="00B96228"/>
    <w:rsid w:val="00B96313"/>
    <w:rsid w:val="00B96CCE"/>
    <w:rsid w:val="00B96CF0"/>
    <w:rsid w:val="00B96DA2"/>
    <w:rsid w:val="00B96DAF"/>
    <w:rsid w:val="00B96F16"/>
    <w:rsid w:val="00B9716A"/>
    <w:rsid w:val="00B9745E"/>
    <w:rsid w:val="00B97701"/>
    <w:rsid w:val="00B977E6"/>
    <w:rsid w:val="00BA067F"/>
    <w:rsid w:val="00BA0A3E"/>
    <w:rsid w:val="00BA0B44"/>
    <w:rsid w:val="00BA1327"/>
    <w:rsid w:val="00BA13E0"/>
    <w:rsid w:val="00BA1421"/>
    <w:rsid w:val="00BA17C4"/>
    <w:rsid w:val="00BA270E"/>
    <w:rsid w:val="00BA2729"/>
    <w:rsid w:val="00BA283C"/>
    <w:rsid w:val="00BA2AEB"/>
    <w:rsid w:val="00BA2B41"/>
    <w:rsid w:val="00BA2B82"/>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286"/>
    <w:rsid w:val="00BB1710"/>
    <w:rsid w:val="00BB18C3"/>
    <w:rsid w:val="00BB1C4F"/>
    <w:rsid w:val="00BB20E7"/>
    <w:rsid w:val="00BB225D"/>
    <w:rsid w:val="00BB277B"/>
    <w:rsid w:val="00BB2835"/>
    <w:rsid w:val="00BB365A"/>
    <w:rsid w:val="00BB3668"/>
    <w:rsid w:val="00BB37B0"/>
    <w:rsid w:val="00BB3C65"/>
    <w:rsid w:val="00BB3F4C"/>
    <w:rsid w:val="00BB4158"/>
    <w:rsid w:val="00BB4250"/>
    <w:rsid w:val="00BB4A42"/>
    <w:rsid w:val="00BB5075"/>
    <w:rsid w:val="00BB5220"/>
    <w:rsid w:val="00BB5321"/>
    <w:rsid w:val="00BB539B"/>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B85"/>
    <w:rsid w:val="00BC2BC7"/>
    <w:rsid w:val="00BC2F45"/>
    <w:rsid w:val="00BC344E"/>
    <w:rsid w:val="00BC38B8"/>
    <w:rsid w:val="00BC3B7A"/>
    <w:rsid w:val="00BC3CF8"/>
    <w:rsid w:val="00BC4239"/>
    <w:rsid w:val="00BC4B9C"/>
    <w:rsid w:val="00BC4E5E"/>
    <w:rsid w:val="00BC5181"/>
    <w:rsid w:val="00BC56C1"/>
    <w:rsid w:val="00BC5A77"/>
    <w:rsid w:val="00BC5CE2"/>
    <w:rsid w:val="00BC5DAB"/>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1B71"/>
    <w:rsid w:val="00BD21A4"/>
    <w:rsid w:val="00BD238C"/>
    <w:rsid w:val="00BD2397"/>
    <w:rsid w:val="00BD28A4"/>
    <w:rsid w:val="00BD2A08"/>
    <w:rsid w:val="00BD2F55"/>
    <w:rsid w:val="00BD3837"/>
    <w:rsid w:val="00BD385B"/>
    <w:rsid w:val="00BD386B"/>
    <w:rsid w:val="00BD3C69"/>
    <w:rsid w:val="00BD3D7A"/>
    <w:rsid w:val="00BD3E27"/>
    <w:rsid w:val="00BD4355"/>
    <w:rsid w:val="00BD4A64"/>
    <w:rsid w:val="00BD5146"/>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8D6"/>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A2B"/>
    <w:rsid w:val="00BF2C65"/>
    <w:rsid w:val="00BF31CB"/>
    <w:rsid w:val="00BF335E"/>
    <w:rsid w:val="00BF39E3"/>
    <w:rsid w:val="00BF3AE6"/>
    <w:rsid w:val="00BF3C10"/>
    <w:rsid w:val="00BF46F1"/>
    <w:rsid w:val="00BF4923"/>
    <w:rsid w:val="00BF4B69"/>
    <w:rsid w:val="00BF5017"/>
    <w:rsid w:val="00BF5350"/>
    <w:rsid w:val="00BF55D0"/>
    <w:rsid w:val="00BF5623"/>
    <w:rsid w:val="00BF56A8"/>
    <w:rsid w:val="00BF5EBA"/>
    <w:rsid w:val="00BF60E3"/>
    <w:rsid w:val="00BF6597"/>
    <w:rsid w:val="00BF6760"/>
    <w:rsid w:val="00BF6FBF"/>
    <w:rsid w:val="00BF70A1"/>
    <w:rsid w:val="00BF70F8"/>
    <w:rsid w:val="00BF7CDD"/>
    <w:rsid w:val="00BF7D43"/>
    <w:rsid w:val="00C00F1A"/>
    <w:rsid w:val="00C010F5"/>
    <w:rsid w:val="00C0115A"/>
    <w:rsid w:val="00C013F4"/>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8C3"/>
    <w:rsid w:val="00C06DFE"/>
    <w:rsid w:val="00C06F8C"/>
    <w:rsid w:val="00C07A6C"/>
    <w:rsid w:val="00C07AE3"/>
    <w:rsid w:val="00C07AE4"/>
    <w:rsid w:val="00C10149"/>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C8A"/>
    <w:rsid w:val="00C13D30"/>
    <w:rsid w:val="00C13F22"/>
    <w:rsid w:val="00C140FE"/>
    <w:rsid w:val="00C14346"/>
    <w:rsid w:val="00C1452A"/>
    <w:rsid w:val="00C14691"/>
    <w:rsid w:val="00C14C80"/>
    <w:rsid w:val="00C14EF8"/>
    <w:rsid w:val="00C15111"/>
    <w:rsid w:val="00C15135"/>
    <w:rsid w:val="00C15688"/>
    <w:rsid w:val="00C159ED"/>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370F"/>
    <w:rsid w:val="00C237B8"/>
    <w:rsid w:val="00C2423A"/>
    <w:rsid w:val="00C244D8"/>
    <w:rsid w:val="00C24789"/>
    <w:rsid w:val="00C24EE5"/>
    <w:rsid w:val="00C250CF"/>
    <w:rsid w:val="00C252FC"/>
    <w:rsid w:val="00C2544D"/>
    <w:rsid w:val="00C25803"/>
    <w:rsid w:val="00C25B53"/>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4E8"/>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7B9"/>
    <w:rsid w:val="00C36DAD"/>
    <w:rsid w:val="00C37050"/>
    <w:rsid w:val="00C3758F"/>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38C"/>
    <w:rsid w:val="00C43961"/>
    <w:rsid w:val="00C439F0"/>
    <w:rsid w:val="00C43CE7"/>
    <w:rsid w:val="00C4412A"/>
    <w:rsid w:val="00C44189"/>
    <w:rsid w:val="00C447FB"/>
    <w:rsid w:val="00C44A2C"/>
    <w:rsid w:val="00C44CD1"/>
    <w:rsid w:val="00C44F96"/>
    <w:rsid w:val="00C44FF2"/>
    <w:rsid w:val="00C45036"/>
    <w:rsid w:val="00C45377"/>
    <w:rsid w:val="00C4587D"/>
    <w:rsid w:val="00C45C66"/>
    <w:rsid w:val="00C45ED5"/>
    <w:rsid w:val="00C45FF5"/>
    <w:rsid w:val="00C46400"/>
    <w:rsid w:val="00C470AA"/>
    <w:rsid w:val="00C4739C"/>
    <w:rsid w:val="00C47AE8"/>
    <w:rsid w:val="00C47B93"/>
    <w:rsid w:val="00C47BDE"/>
    <w:rsid w:val="00C5002F"/>
    <w:rsid w:val="00C50335"/>
    <w:rsid w:val="00C508B7"/>
    <w:rsid w:val="00C5098C"/>
    <w:rsid w:val="00C509D3"/>
    <w:rsid w:val="00C51696"/>
    <w:rsid w:val="00C51D11"/>
    <w:rsid w:val="00C51D30"/>
    <w:rsid w:val="00C51F21"/>
    <w:rsid w:val="00C521CD"/>
    <w:rsid w:val="00C5257E"/>
    <w:rsid w:val="00C5285D"/>
    <w:rsid w:val="00C531B4"/>
    <w:rsid w:val="00C532F9"/>
    <w:rsid w:val="00C539B0"/>
    <w:rsid w:val="00C53E22"/>
    <w:rsid w:val="00C53F06"/>
    <w:rsid w:val="00C54A19"/>
    <w:rsid w:val="00C54C14"/>
    <w:rsid w:val="00C54C62"/>
    <w:rsid w:val="00C54CBD"/>
    <w:rsid w:val="00C54CDD"/>
    <w:rsid w:val="00C55860"/>
    <w:rsid w:val="00C5589B"/>
    <w:rsid w:val="00C55A58"/>
    <w:rsid w:val="00C55E23"/>
    <w:rsid w:val="00C5638E"/>
    <w:rsid w:val="00C56918"/>
    <w:rsid w:val="00C569CA"/>
    <w:rsid w:val="00C5733A"/>
    <w:rsid w:val="00C57602"/>
    <w:rsid w:val="00C57CC6"/>
    <w:rsid w:val="00C601EB"/>
    <w:rsid w:val="00C602DB"/>
    <w:rsid w:val="00C60430"/>
    <w:rsid w:val="00C60708"/>
    <w:rsid w:val="00C60EC1"/>
    <w:rsid w:val="00C612CC"/>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62A"/>
    <w:rsid w:val="00C70B8C"/>
    <w:rsid w:val="00C71327"/>
    <w:rsid w:val="00C71468"/>
    <w:rsid w:val="00C723AF"/>
    <w:rsid w:val="00C723CA"/>
    <w:rsid w:val="00C72B26"/>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2CE0"/>
    <w:rsid w:val="00C831FC"/>
    <w:rsid w:val="00C836C8"/>
    <w:rsid w:val="00C8395C"/>
    <w:rsid w:val="00C83D50"/>
    <w:rsid w:val="00C84231"/>
    <w:rsid w:val="00C847C8"/>
    <w:rsid w:val="00C84D5A"/>
    <w:rsid w:val="00C85034"/>
    <w:rsid w:val="00C8534D"/>
    <w:rsid w:val="00C8597E"/>
    <w:rsid w:val="00C85F12"/>
    <w:rsid w:val="00C86379"/>
    <w:rsid w:val="00C864DB"/>
    <w:rsid w:val="00C8669B"/>
    <w:rsid w:val="00C86E0F"/>
    <w:rsid w:val="00C870BA"/>
    <w:rsid w:val="00C8781D"/>
    <w:rsid w:val="00C878E9"/>
    <w:rsid w:val="00C87A02"/>
    <w:rsid w:val="00C87AF9"/>
    <w:rsid w:val="00C901A9"/>
    <w:rsid w:val="00C9047A"/>
    <w:rsid w:val="00C905AC"/>
    <w:rsid w:val="00C90B43"/>
    <w:rsid w:val="00C90C65"/>
    <w:rsid w:val="00C90C82"/>
    <w:rsid w:val="00C90F7A"/>
    <w:rsid w:val="00C91388"/>
    <w:rsid w:val="00C9181D"/>
    <w:rsid w:val="00C9192A"/>
    <w:rsid w:val="00C91CFB"/>
    <w:rsid w:val="00C91FAC"/>
    <w:rsid w:val="00C9220C"/>
    <w:rsid w:val="00C922C5"/>
    <w:rsid w:val="00C92352"/>
    <w:rsid w:val="00C923B7"/>
    <w:rsid w:val="00C927AB"/>
    <w:rsid w:val="00C92C2A"/>
    <w:rsid w:val="00C930CF"/>
    <w:rsid w:val="00C9318C"/>
    <w:rsid w:val="00C93297"/>
    <w:rsid w:val="00C93543"/>
    <w:rsid w:val="00C93A05"/>
    <w:rsid w:val="00C945EC"/>
    <w:rsid w:val="00C94A45"/>
    <w:rsid w:val="00C94B58"/>
    <w:rsid w:val="00C94BBA"/>
    <w:rsid w:val="00C94DDB"/>
    <w:rsid w:val="00C94E45"/>
    <w:rsid w:val="00C952E6"/>
    <w:rsid w:val="00C95300"/>
    <w:rsid w:val="00C95548"/>
    <w:rsid w:val="00C95656"/>
    <w:rsid w:val="00C95730"/>
    <w:rsid w:val="00C95962"/>
    <w:rsid w:val="00C959AA"/>
    <w:rsid w:val="00C95EC0"/>
    <w:rsid w:val="00C963E1"/>
    <w:rsid w:val="00C965AD"/>
    <w:rsid w:val="00C96D37"/>
    <w:rsid w:val="00C96D71"/>
    <w:rsid w:val="00C96F89"/>
    <w:rsid w:val="00C96FE0"/>
    <w:rsid w:val="00C9755B"/>
    <w:rsid w:val="00C97572"/>
    <w:rsid w:val="00C9785E"/>
    <w:rsid w:val="00C979D5"/>
    <w:rsid w:val="00C97AF1"/>
    <w:rsid w:val="00C97D77"/>
    <w:rsid w:val="00CA00AC"/>
    <w:rsid w:val="00CA09AA"/>
    <w:rsid w:val="00CA0FCC"/>
    <w:rsid w:val="00CA114D"/>
    <w:rsid w:val="00CA1225"/>
    <w:rsid w:val="00CA18D2"/>
    <w:rsid w:val="00CA192B"/>
    <w:rsid w:val="00CA2604"/>
    <w:rsid w:val="00CA2906"/>
    <w:rsid w:val="00CA2919"/>
    <w:rsid w:val="00CA2C56"/>
    <w:rsid w:val="00CA33C0"/>
    <w:rsid w:val="00CA3A51"/>
    <w:rsid w:val="00CA49C0"/>
    <w:rsid w:val="00CA4A24"/>
    <w:rsid w:val="00CA4A3F"/>
    <w:rsid w:val="00CA4C14"/>
    <w:rsid w:val="00CA4F58"/>
    <w:rsid w:val="00CA51A0"/>
    <w:rsid w:val="00CA54E1"/>
    <w:rsid w:val="00CA5DA3"/>
    <w:rsid w:val="00CA5E1D"/>
    <w:rsid w:val="00CA6164"/>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8D"/>
    <w:rsid w:val="00CB37C7"/>
    <w:rsid w:val="00CB39EB"/>
    <w:rsid w:val="00CB41E7"/>
    <w:rsid w:val="00CB480A"/>
    <w:rsid w:val="00CB4FA5"/>
    <w:rsid w:val="00CB5008"/>
    <w:rsid w:val="00CB58DD"/>
    <w:rsid w:val="00CB5F50"/>
    <w:rsid w:val="00CB5F58"/>
    <w:rsid w:val="00CB6310"/>
    <w:rsid w:val="00CB6343"/>
    <w:rsid w:val="00CB6517"/>
    <w:rsid w:val="00CB6D47"/>
    <w:rsid w:val="00CB7153"/>
    <w:rsid w:val="00CB7600"/>
    <w:rsid w:val="00CB7630"/>
    <w:rsid w:val="00CB7648"/>
    <w:rsid w:val="00CB79A4"/>
    <w:rsid w:val="00CB7B6B"/>
    <w:rsid w:val="00CB7F5F"/>
    <w:rsid w:val="00CC00B7"/>
    <w:rsid w:val="00CC034B"/>
    <w:rsid w:val="00CC0582"/>
    <w:rsid w:val="00CC077F"/>
    <w:rsid w:val="00CC07BA"/>
    <w:rsid w:val="00CC099A"/>
    <w:rsid w:val="00CC0AA7"/>
    <w:rsid w:val="00CC0E56"/>
    <w:rsid w:val="00CC1555"/>
    <w:rsid w:val="00CC172A"/>
    <w:rsid w:val="00CC1835"/>
    <w:rsid w:val="00CC1A18"/>
    <w:rsid w:val="00CC1D2E"/>
    <w:rsid w:val="00CC1E3E"/>
    <w:rsid w:val="00CC1E40"/>
    <w:rsid w:val="00CC22D3"/>
    <w:rsid w:val="00CC27F5"/>
    <w:rsid w:val="00CC2D18"/>
    <w:rsid w:val="00CC2EFE"/>
    <w:rsid w:val="00CC32B0"/>
    <w:rsid w:val="00CC3420"/>
    <w:rsid w:val="00CC3D8D"/>
    <w:rsid w:val="00CC3E8C"/>
    <w:rsid w:val="00CC400F"/>
    <w:rsid w:val="00CC4365"/>
    <w:rsid w:val="00CC4C5E"/>
    <w:rsid w:val="00CC4CD7"/>
    <w:rsid w:val="00CC4F58"/>
    <w:rsid w:val="00CC5565"/>
    <w:rsid w:val="00CC57AE"/>
    <w:rsid w:val="00CC5E58"/>
    <w:rsid w:val="00CC606C"/>
    <w:rsid w:val="00CC620F"/>
    <w:rsid w:val="00CC728B"/>
    <w:rsid w:val="00CC7356"/>
    <w:rsid w:val="00CC74D5"/>
    <w:rsid w:val="00CC7A6D"/>
    <w:rsid w:val="00CC7CD9"/>
    <w:rsid w:val="00CC7DF5"/>
    <w:rsid w:val="00CD0002"/>
    <w:rsid w:val="00CD04B6"/>
    <w:rsid w:val="00CD0740"/>
    <w:rsid w:val="00CD0768"/>
    <w:rsid w:val="00CD124B"/>
    <w:rsid w:val="00CD14CB"/>
    <w:rsid w:val="00CD179D"/>
    <w:rsid w:val="00CD17B7"/>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823"/>
    <w:rsid w:val="00CD6D63"/>
    <w:rsid w:val="00CD6E0B"/>
    <w:rsid w:val="00CD72C1"/>
    <w:rsid w:val="00CD72F6"/>
    <w:rsid w:val="00CD75C0"/>
    <w:rsid w:val="00CD787F"/>
    <w:rsid w:val="00CD7A86"/>
    <w:rsid w:val="00CD7BA8"/>
    <w:rsid w:val="00CE025E"/>
    <w:rsid w:val="00CE030D"/>
    <w:rsid w:val="00CE03B6"/>
    <w:rsid w:val="00CE05F2"/>
    <w:rsid w:val="00CE06EF"/>
    <w:rsid w:val="00CE0CBF"/>
    <w:rsid w:val="00CE0D1B"/>
    <w:rsid w:val="00CE0D5D"/>
    <w:rsid w:val="00CE0F04"/>
    <w:rsid w:val="00CE0F12"/>
    <w:rsid w:val="00CE0F1B"/>
    <w:rsid w:val="00CE112E"/>
    <w:rsid w:val="00CE1225"/>
    <w:rsid w:val="00CE132D"/>
    <w:rsid w:val="00CE143E"/>
    <w:rsid w:val="00CE19F2"/>
    <w:rsid w:val="00CE1E82"/>
    <w:rsid w:val="00CE253D"/>
    <w:rsid w:val="00CE3257"/>
    <w:rsid w:val="00CE365C"/>
    <w:rsid w:val="00CE3878"/>
    <w:rsid w:val="00CE38AA"/>
    <w:rsid w:val="00CE3CDC"/>
    <w:rsid w:val="00CE3D16"/>
    <w:rsid w:val="00CE3F31"/>
    <w:rsid w:val="00CE48AC"/>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4E"/>
    <w:rsid w:val="00CE72DE"/>
    <w:rsid w:val="00CE7392"/>
    <w:rsid w:val="00CE7603"/>
    <w:rsid w:val="00CE76BD"/>
    <w:rsid w:val="00CE781A"/>
    <w:rsid w:val="00CF02AC"/>
    <w:rsid w:val="00CF04FA"/>
    <w:rsid w:val="00CF057C"/>
    <w:rsid w:val="00CF06E6"/>
    <w:rsid w:val="00CF13E4"/>
    <w:rsid w:val="00CF14AC"/>
    <w:rsid w:val="00CF18AB"/>
    <w:rsid w:val="00CF1AA6"/>
    <w:rsid w:val="00CF1DDF"/>
    <w:rsid w:val="00CF20C8"/>
    <w:rsid w:val="00CF2573"/>
    <w:rsid w:val="00CF2639"/>
    <w:rsid w:val="00CF2BC3"/>
    <w:rsid w:val="00CF2EAE"/>
    <w:rsid w:val="00CF2EF5"/>
    <w:rsid w:val="00CF2FBF"/>
    <w:rsid w:val="00CF33BA"/>
    <w:rsid w:val="00CF3C1E"/>
    <w:rsid w:val="00CF3D77"/>
    <w:rsid w:val="00CF3E2B"/>
    <w:rsid w:val="00CF3F01"/>
    <w:rsid w:val="00CF4050"/>
    <w:rsid w:val="00CF41AE"/>
    <w:rsid w:val="00CF4418"/>
    <w:rsid w:val="00CF495B"/>
    <w:rsid w:val="00CF4971"/>
    <w:rsid w:val="00CF4B55"/>
    <w:rsid w:val="00CF4F02"/>
    <w:rsid w:val="00CF4F88"/>
    <w:rsid w:val="00CF501D"/>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7BB"/>
    <w:rsid w:val="00D04A63"/>
    <w:rsid w:val="00D04FC8"/>
    <w:rsid w:val="00D050BA"/>
    <w:rsid w:val="00D05196"/>
    <w:rsid w:val="00D05C6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F48"/>
    <w:rsid w:val="00D1121C"/>
    <w:rsid w:val="00D11243"/>
    <w:rsid w:val="00D11672"/>
    <w:rsid w:val="00D11873"/>
    <w:rsid w:val="00D11FA0"/>
    <w:rsid w:val="00D11FAE"/>
    <w:rsid w:val="00D12371"/>
    <w:rsid w:val="00D12440"/>
    <w:rsid w:val="00D1249E"/>
    <w:rsid w:val="00D126E6"/>
    <w:rsid w:val="00D126F8"/>
    <w:rsid w:val="00D128F5"/>
    <w:rsid w:val="00D12B75"/>
    <w:rsid w:val="00D13440"/>
    <w:rsid w:val="00D13451"/>
    <w:rsid w:val="00D135C1"/>
    <w:rsid w:val="00D1376F"/>
    <w:rsid w:val="00D13820"/>
    <w:rsid w:val="00D13880"/>
    <w:rsid w:val="00D13BBC"/>
    <w:rsid w:val="00D13F9F"/>
    <w:rsid w:val="00D14204"/>
    <w:rsid w:val="00D14C02"/>
    <w:rsid w:val="00D1552A"/>
    <w:rsid w:val="00D15D9D"/>
    <w:rsid w:val="00D1624D"/>
    <w:rsid w:val="00D1655E"/>
    <w:rsid w:val="00D17869"/>
    <w:rsid w:val="00D1792B"/>
    <w:rsid w:val="00D17F37"/>
    <w:rsid w:val="00D202D3"/>
    <w:rsid w:val="00D20CCA"/>
    <w:rsid w:val="00D2171B"/>
    <w:rsid w:val="00D217CE"/>
    <w:rsid w:val="00D21A77"/>
    <w:rsid w:val="00D22148"/>
    <w:rsid w:val="00D229A3"/>
    <w:rsid w:val="00D22D40"/>
    <w:rsid w:val="00D22F49"/>
    <w:rsid w:val="00D23556"/>
    <w:rsid w:val="00D23A1F"/>
    <w:rsid w:val="00D23B89"/>
    <w:rsid w:val="00D23BB2"/>
    <w:rsid w:val="00D23CE2"/>
    <w:rsid w:val="00D244D5"/>
    <w:rsid w:val="00D24D04"/>
    <w:rsid w:val="00D24E2B"/>
    <w:rsid w:val="00D254A4"/>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7B"/>
    <w:rsid w:val="00D31B9F"/>
    <w:rsid w:val="00D31BEA"/>
    <w:rsid w:val="00D329CB"/>
    <w:rsid w:val="00D33313"/>
    <w:rsid w:val="00D333D5"/>
    <w:rsid w:val="00D333D7"/>
    <w:rsid w:val="00D33410"/>
    <w:rsid w:val="00D33418"/>
    <w:rsid w:val="00D33458"/>
    <w:rsid w:val="00D33AFC"/>
    <w:rsid w:val="00D33C0E"/>
    <w:rsid w:val="00D3410B"/>
    <w:rsid w:val="00D344C9"/>
    <w:rsid w:val="00D346E8"/>
    <w:rsid w:val="00D3568C"/>
    <w:rsid w:val="00D358B2"/>
    <w:rsid w:val="00D359BB"/>
    <w:rsid w:val="00D35C70"/>
    <w:rsid w:val="00D3609F"/>
    <w:rsid w:val="00D3610A"/>
    <w:rsid w:val="00D366C8"/>
    <w:rsid w:val="00D3677E"/>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A54"/>
    <w:rsid w:val="00D42B71"/>
    <w:rsid w:val="00D42CD1"/>
    <w:rsid w:val="00D42D5D"/>
    <w:rsid w:val="00D432BD"/>
    <w:rsid w:val="00D43888"/>
    <w:rsid w:val="00D43984"/>
    <w:rsid w:val="00D4401E"/>
    <w:rsid w:val="00D4429F"/>
    <w:rsid w:val="00D44A5C"/>
    <w:rsid w:val="00D45983"/>
    <w:rsid w:val="00D45A16"/>
    <w:rsid w:val="00D45B68"/>
    <w:rsid w:val="00D466E5"/>
    <w:rsid w:val="00D467C7"/>
    <w:rsid w:val="00D4688E"/>
    <w:rsid w:val="00D46967"/>
    <w:rsid w:val="00D46ADC"/>
    <w:rsid w:val="00D46EF6"/>
    <w:rsid w:val="00D46F2D"/>
    <w:rsid w:val="00D471EF"/>
    <w:rsid w:val="00D475CC"/>
    <w:rsid w:val="00D477E2"/>
    <w:rsid w:val="00D4785C"/>
    <w:rsid w:val="00D47A34"/>
    <w:rsid w:val="00D47EDA"/>
    <w:rsid w:val="00D5044A"/>
    <w:rsid w:val="00D50641"/>
    <w:rsid w:val="00D50C82"/>
    <w:rsid w:val="00D50F95"/>
    <w:rsid w:val="00D5102A"/>
    <w:rsid w:val="00D512D1"/>
    <w:rsid w:val="00D513F0"/>
    <w:rsid w:val="00D51420"/>
    <w:rsid w:val="00D51565"/>
    <w:rsid w:val="00D5166F"/>
    <w:rsid w:val="00D51AAF"/>
    <w:rsid w:val="00D51F84"/>
    <w:rsid w:val="00D52200"/>
    <w:rsid w:val="00D52335"/>
    <w:rsid w:val="00D52400"/>
    <w:rsid w:val="00D5249D"/>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2FB0"/>
    <w:rsid w:val="00D63439"/>
    <w:rsid w:val="00D635DF"/>
    <w:rsid w:val="00D63BAD"/>
    <w:rsid w:val="00D6410E"/>
    <w:rsid w:val="00D6420A"/>
    <w:rsid w:val="00D64456"/>
    <w:rsid w:val="00D6447E"/>
    <w:rsid w:val="00D645BF"/>
    <w:rsid w:val="00D647F9"/>
    <w:rsid w:val="00D6485C"/>
    <w:rsid w:val="00D64CB8"/>
    <w:rsid w:val="00D6520A"/>
    <w:rsid w:val="00D65404"/>
    <w:rsid w:val="00D6575A"/>
    <w:rsid w:val="00D65837"/>
    <w:rsid w:val="00D65A95"/>
    <w:rsid w:val="00D65DD6"/>
    <w:rsid w:val="00D66008"/>
    <w:rsid w:val="00D66022"/>
    <w:rsid w:val="00D66065"/>
    <w:rsid w:val="00D667E0"/>
    <w:rsid w:val="00D66B6D"/>
    <w:rsid w:val="00D66C66"/>
    <w:rsid w:val="00D66D47"/>
    <w:rsid w:val="00D66DAA"/>
    <w:rsid w:val="00D67241"/>
    <w:rsid w:val="00D6755B"/>
    <w:rsid w:val="00D67888"/>
    <w:rsid w:val="00D7010A"/>
    <w:rsid w:val="00D7040B"/>
    <w:rsid w:val="00D7066F"/>
    <w:rsid w:val="00D70A36"/>
    <w:rsid w:val="00D70B5B"/>
    <w:rsid w:val="00D70F5E"/>
    <w:rsid w:val="00D70F87"/>
    <w:rsid w:val="00D7123A"/>
    <w:rsid w:val="00D71BD5"/>
    <w:rsid w:val="00D72265"/>
    <w:rsid w:val="00D72BDC"/>
    <w:rsid w:val="00D73118"/>
    <w:rsid w:val="00D73347"/>
    <w:rsid w:val="00D7354A"/>
    <w:rsid w:val="00D7364D"/>
    <w:rsid w:val="00D73A3C"/>
    <w:rsid w:val="00D73A6B"/>
    <w:rsid w:val="00D73C64"/>
    <w:rsid w:val="00D73DAD"/>
    <w:rsid w:val="00D73E0D"/>
    <w:rsid w:val="00D74461"/>
    <w:rsid w:val="00D7466F"/>
    <w:rsid w:val="00D74AF7"/>
    <w:rsid w:val="00D7505F"/>
    <w:rsid w:val="00D75199"/>
    <w:rsid w:val="00D75277"/>
    <w:rsid w:val="00D75480"/>
    <w:rsid w:val="00D75843"/>
    <w:rsid w:val="00D758A1"/>
    <w:rsid w:val="00D75E85"/>
    <w:rsid w:val="00D75F68"/>
    <w:rsid w:val="00D76283"/>
    <w:rsid w:val="00D762DF"/>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96D"/>
    <w:rsid w:val="00D81F9F"/>
    <w:rsid w:val="00D820F3"/>
    <w:rsid w:val="00D829AC"/>
    <w:rsid w:val="00D82AA1"/>
    <w:rsid w:val="00D83348"/>
    <w:rsid w:val="00D83401"/>
    <w:rsid w:val="00D83850"/>
    <w:rsid w:val="00D84176"/>
    <w:rsid w:val="00D84268"/>
    <w:rsid w:val="00D84278"/>
    <w:rsid w:val="00D845B1"/>
    <w:rsid w:val="00D846C5"/>
    <w:rsid w:val="00D847C6"/>
    <w:rsid w:val="00D85341"/>
    <w:rsid w:val="00D858AB"/>
    <w:rsid w:val="00D86752"/>
    <w:rsid w:val="00D86967"/>
    <w:rsid w:val="00D86ACF"/>
    <w:rsid w:val="00D86B37"/>
    <w:rsid w:val="00D86EF6"/>
    <w:rsid w:val="00D87154"/>
    <w:rsid w:val="00D8778A"/>
    <w:rsid w:val="00D8781B"/>
    <w:rsid w:val="00D87966"/>
    <w:rsid w:val="00D90F81"/>
    <w:rsid w:val="00D90FD9"/>
    <w:rsid w:val="00D91009"/>
    <w:rsid w:val="00D9120D"/>
    <w:rsid w:val="00D9126A"/>
    <w:rsid w:val="00D912DF"/>
    <w:rsid w:val="00D91408"/>
    <w:rsid w:val="00D919F7"/>
    <w:rsid w:val="00D91AEE"/>
    <w:rsid w:val="00D91B8D"/>
    <w:rsid w:val="00D91F8C"/>
    <w:rsid w:val="00D92108"/>
    <w:rsid w:val="00D921A8"/>
    <w:rsid w:val="00D92265"/>
    <w:rsid w:val="00D9230B"/>
    <w:rsid w:val="00D92558"/>
    <w:rsid w:val="00D92633"/>
    <w:rsid w:val="00D92C75"/>
    <w:rsid w:val="00D92CBC"/>
    <w:rsid w:val="00D92F60"/>
    <w:rsid w:val="00D92FD3"/>
    <w:rsid w:val="00D931F2"/>
    <w:rsid w:val="00D938C1"/>
    <w:rsid w:val="00D938CE"/>
    <w:rsid w:val="00D93EF4"/>
    <w:rsid w:val="00D94909"/>
    <w:rsid w:val="00D94BB0"/>
    <w:rsid w:val="00D94FF3"/>
    <w:rsid w:val="00D95322"/>
    <w:rsid w:val="00D955B0"/>
    <w:rsid w:val="00D957C0"/>
    <w:rsid w:val="00D959CE"/>
    <w:rsid w:val="00D95A2F"/>
    <w:rsid w:val="00D95B27"/>
    <w:rsid w:val="00D95BC2"/>
    <w:rsid w:val="00D95BFF"/>
    <w:rsid w:val="00D95F45"/>
    <w:rsid w:val="00D96AD5"/>
    <w:rsid w:val="00D96C62"/>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564"/>
    <w:rsid w:val="00DA714A"/>
    <w:rsid w:val="00DA71AF"/>
    <w:rsid w:val="00DA727D"/>
    <w:rsid w:val="00DA7A85"/>
    <w:rsid w:val="00DA7BC7"/>
    <w:rsid w:val="00DA7E4C"/>
    <w:rsid w:val="00DA7EC1"/>
    <w:rsid w:val="00DB0564"/>
    <w:rsid w:val="00DB0C6B"/>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389"/>
    <w:rsid w:val="00DB5913"/>
    <w:rsid w:val="00DB5A21"/>
    <w:rsid w:val="00DB5DEB"/>
    <w:rsid w:val="00DB5EE5"/>
    <w:rsid w:val="00DB6681"/>
    <w:rsid w:val="00DB6F47"/>
    <w:rsid w:val="00DB70B3"/>
    <w:rsid w:val="00DB749A"/>
    <w:rsid w:val="00DB7570"/>
    <w:rsid w:val="00DB7E8C"/>
    <w:rsid w:val="00DC0243"/>
    <w:rsid w:val="00DC0307"/>
    <w:rsid w:val="00DC0F93"/>
    <w:rsid w:val="00DC1384"/>
    <w:rsid w:val="00DC1479"/>
    <w:rsid w:val="00DC1624"/>
    <w:rsid w:val="00DC1763"/>
    <w:rsid w:val="00DC187B"/>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57F"/>
    <w:rsid w:val="00DC7890"/>
    <w:rsid w:val="00DC79A3"/>
    <w:rsid w:val="00DC7E92"/>
    <w:rsid w:val="00DD02C4"/>
    <w:rsid w:val="00DD044C"/>
    <w:rsid w:val="00DD0EBB"/>
    <w:rsid w:val="00DD128A"/>
    <w:rsid w:val="00DD12B1"/>
    <w:rsid w:val="00DD12B5"/>
    <w:rsid w:val="00DD18BD"/>
    <w:rsid w:val="00DD1947"/>
    <w:rsid w:val="00DD1D3D"/>
    <w:rsid w:val="00DD1E75"/>
    <w:rsid w:val="00DD1ED7"/>
    <w:rsid w:val="00DD242B"/>
    <w:rsid w:val="00DD2FE5"/>
    <w:rsid w:val="00DD32DF"/>
    <w:rsid w:val="00DD33DE"/>
    <w:rsid w:val="00DD3401"/>
    <w:rsid w:val="00DD3430"/>
    <w:rsid w:val="00DD3480"/>
    <w:rsid w:val="00DD3565"/>
    <w:rsid w:val="00DD370F"/>
    <w:rsid w:val="00DD3729"/>
    <w:rsid w:val="00DD3A5A"/>
    <w:rsid w:val="00DD4714"/>
    <w:rsid w:val="00DD49D3"/>
    <w:rsid w:val="00DD4BAD"/>
    <w:rsid w:val="00DD51CD"/>
    <w:rsid w:val="00DD58D9"/>
    <w:rsid w:val="00DD59AB"/>
    <w:rsid w:val="00DD5E6D"/>
    <w:rsid w:val="00DD5FFE"/>
    <w:rsid w:val="00DD6396"/>
    <w:rsid w:val="00DD6C34"/>
    <w:rsid w:val="00DD6C70"/>
    <w:rsid w:val="00DD6DA2"/>
    <w:rsid w:val="00DD6FC8"/>
    <w:rsid w:val="00DD761C"/>
    <w:rsid w:val="00DE007D"/>
    <w:rsid w:val="00DE0171"/>
    <w:rsid w:val="00DE0333"/>
    <w:rsid w:val="00DE0558"/>
    <w:rsid w:val="00DE067E"/>
    <w:rsid w:val="00DE088E"/>
    <w:rsid w:val="00DE1147"/>
    <w:rsid w:val="00DE128B"/>
    <w:rsid w:val="00DE1318"/>
    <w:rsid w:val="00DE1799"/>
    <w:rsid w:val="00DE2184"/>
    <w:rsid w:val="00DE21CF"/>
    <w:rsid w:val="00DE2243"/>
    <w:rsid w:val="00DE279F"/>
    <w:rsid w:val="00DE28F0"/>
    <w:rsid w:val="00DE2A52"/>
    <w:rsid w:val="00DE2D4B"/>
    <w:rsid w:val="00DE2E1E"/>
    <w:rsid w:val="00DE2F6C"/>
    <w:rsid w:val="00DE3D26"/>
    <w:rsid w:val="00DE3E7C"/>
    <w:rsid w:val="00DE3FD6"/>
    <w:rsid w:val="00DE44D6"/>
    <w:rsid w:val="00DE464E"/>
    <w:rsid w:val="00DE4664"/>
    <w:rsid w:val="00DE4811"/>
    <w:rsid w:val="00DE4B0C"/>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3EF9"/>
    <w:rsid w:val="00DF4158"/>
    <w:rsid w:val="00DF4430"/>
    <w:rsid w:val="00DF4920"/>
    <w:rsid w:val="00DF4DEA"/>
    <w:rsid w:val="00DF4F19"/>
    <w:rsid w:val="00DF5002"/>
    <w:rsid w:val="00DF526E"/>
    <w:rsid w:val="00DF5270"/>
    <w:rsid w:val="00DF5851"/>
    <w:rsid w:val="00DF5B4C"/>
    <w:rsid w:val="00DF6014"/>
    <w:rsid w:val="00DF61D2"/>
    <w:rsid w:val="00DF6531"/>
    <w:rsid w:val="00DF6824"/>
    <w:rsid w:val="00DF69A9"/>
    <w:rsid w:val="00DF6A83"/>
    <w:rsid w:val="00DF7226"/>
    <w:rsid w:val="00DF79C8"/>
    <w:rsid w:val="00DF7BC3"/>
    <w:rsid w:val="00E00368"/>
    <w:rsid w:val="00E005F5"/>
    <w:rsid w:val="00E00A07"/>
    <w:rsid w:val="00E00A92"/>
    <w:rsid w:val="00E0125C"/>
    <w:rsid w:val="00E01395"/>
    <w:rsid w:val="00E01491"/>
    <w:rsid w:val="00E019EA"/>
    <w:rsid w:val="00E01A5C"/>
    <w:rsid w:val="00E01FDA"/>
    <w:rsid w:val="00E0281D"/>
    <w:rsid w:val="00E028E6"/>
    <w:rsid w:val="00E02C20"/>
    <w:rsid w:val="00E0324B"/>
    <w:rsid w:val="00E0345F"/>
    <w:rsid w:val="00E035E4"/>
    <w:rsid w:val="00E03BEA"/>
    <w:rsid w:val="00E0401E"/>
    <w:rsid w:val="00E046C1"/>
    <w:rsid w:val="00E049EC"/>
    <w:rsid w:val="00E04BBE"/>
    <w:rsid w:val="00E04ED2"/>
    <w:rsid w:val="00E05A43"/>
    <w:rsid w:val="00E05FC4"/>
    <w:rsid w:val="00E0615B"/>
    <w:rsid w:val="00E06977"/>
    <w:rsid w:val="00E06AF4"/>
    <w:rsid w:val="00E07309"/>
    <w:rsid w:val="00E073C8"/>
    <w:rsid w:val="00E07686"/>
    <w:rsid w:val="00E07E45"/>
    <w:rsid w:val="00E1007C"/>
    <w:rsid w:val="00E101F9"/>
    <w:rsid w:val="00E102BD"/>
    <w:rsid w:val="00E1039D"/>
    <w:rsid w:val="00E103F8"/>
    <w:rsid w:val="00E10631"/>
    <w:rsid w:val="00E10932"/>
    <w:rsid w:val="00E10C4C"/>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50DB"/>
    <w:rsid w:val="00E25334"/>
    <w:rsid w:val="00E25962"/>
    <w:rsid w:val="00E25B9B"/>
    <w:rsid w:val="00E25F1D"/>
    <w:rsid w:val="00E25F49"/>
    <w:rsid w:val="00E25F87"/>
    <w:rsid w:val="00E2617B"/>
    <w:rsid w:val="00E2690E"/>
    <w:rsid w:val="00E272FE"/>
    <w:rsid w:val="00E27871"/>
    <w:rsid w:val="00E27D55"/>
    <w:rsid w:val="00E30517"/>
    <w:rsid w:val="00E3066B"/>
    <w:rsid w:val="00E3070A"/>
    <w:rsid w:val="00E30A72"/>
    <w:rsid w:val="00E30ABF"/>
    <w:rsid w:val="00E30D78"/>
    <w:rsid w:val="00E30DB2"/>
    <w:rsid w:val="00E31506"/>
    <w:rsid w:val="00E31A4E"/>
    <w:rsid w:val="00E3200D"/>
    <w:rsid w:val="00E32DA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3F36"/>
    <w:rsid w:val="00E4466A"/>
    <w:rsid w:val="00E447D5"/>
    <w:rsid w:val="00E45041"/>
    <w:rsid w:val="00E450D8"/>
    <w:rsid w:val="00E452D0"/>
    <w:rsid w:val="00E45784"/>
    <w:rsid w:val="00E45A9D"/>
    <w:rsid w:val="00E460A1"/>
    <w:rsid w:val="00E462F1"/>
    <w:rsid w:val="00E463A2"/>
    <w:rsid w:val="00E46474"/>
    <w:rsid w:val="00E46635"/>
    <w:rsid w:val="00E4687D"/>
    <w:rsid w:val="00E46BC0"/>
    <w:rsid w:val="00E46CC9"/>
    <w:rsid w:val="00E47642"/>
    <w:rsid w:val="00E47D5F"/>
    <w:rsid w:val="00E47D96"/>
    <w:rsid w:val="00E5037A"/>
    <w:rsid w:val="00E508D6"/>
    <w:rsid w:val="00E50ADD"/>
    <w:rsid w:val="00E51503"/>
    <w:rsid w:val="00E515A3"/>
    <w:rsid w:val="00E51A1D"/>
    <w:rsid w:val="00E51E23"/>
    <w:rsid w:val="00E51EC2"/>
    <w:rsid w:val="00E51F2B"/>
    <w:rsid w:val="00E523F3"/>
    <w:rsid w:val="00E52D78"/>
    <w:rsid w:val="00E52F76"/>
    <w:rsid w:val="00E5315C"/>
    <w:rsid w:val="00E534EA"/>
    <w:rsid w:val="00E538E0"/>
    <w:rsid w:val="00E541FA"/>
    <w:rsid w:val="00E547DF"/>
    <w:rsid w:val="00E54AE9"/>
    <w:rsid w:val="00E54D33"/>
    <w:rsid w:val="00E564C1"/>
    <w:rsid w:val="00E5682C"/>
    <w:rsid w:val="00E56D53"/>
    <w:rsid w:val="00E56D97"/>
    <w:rsid w:val="00E56E3C"/>
    <w:rsid w:val="00E56F3C"/>
    <w:rsid w:val="00E56FAE"/>
    <w:rsid w:val="00E5711F"/>
    <w:rsid w:val="00E577B5"/>
    <w:rsid w:val="00E6000E"/>
    <w:rsid w:val="00E60050"/>
    <w:rsid w:val="00E6014B"/>
    <w:rsid w:val="00E602C9"/>
    <w:rsid w:val="00E606CB"/>
    <w:rsid w:val="00E608B7"/>
    <w:rsid w:val="00E608E1"/>
    <w:rsid w:val="00E60AE0"/>
    <w:rsid w:val="00E60E12"/>
    <w:rsid w:val="00E60E20"/>
    <w:rsid w:val="00E60F80"/>
    <w:rsid w:val="00E6134E"/>
    <w:rsid w:val="00E613CE"/>
    <w:rsid w:val="00E61666"/>
    <w:rsid w:val="00E61B55"/>
    <w:rsid w:val="00E61DAC"/>
    <w:rsid w:val="00E61F86"/>
    <w:rsid w:val="00E621B2"/>
    <w:rsid w:val="00E62AF2"/>
    <w:rsid w:val="00E62C6B"/>
    <w:rsid w:val="00E630F7"/>
    <w:rsid w:val="00E639A3"/>
    <w:rsid w:val="00E643D0"/>
    <w:rsid w:val="00E64763"/>
    <w:rsid w:val="00E647DC"/>
    <w:rsid w:val="00E6484F"/>
    <w:rsid w:val="00E64B4F"/>
    <w:rsid w:val="00E64B84"/>
    <w:rsid w:val="00E65A35"/>
    <w:rsid w:val="00E65E6B"/>
    <w:rsid w:val="00E6640D"/>
    <w:rsid w:val="00E666A1"/>
    <w:rsid w:val="00E6670B"/>
    <w:rsid w:val="00E6682F"/>
    <w:rsid w:val="00E67394"/>
    <w:rsid w:val="00E67631"/>
    <w:rsid w:val="00E6765B"/>
    <w:rsid w:val="00E7002F"/>
    <w:rsid w:val="00E7041A"/>
    <w:rsid w:val="00E705E5"/>
    <w:rsid w:val="00E70B0C"/>
    <w:rsid w:val="00E71158"/>
    <w:rsid w:val="00E71922"/>
    <w:rsid w:val="00E71952"/>
    <w:rsid w:val="00E719E4"/>
    <w:rsid w:val="00E71DF1"/>
    <w:rsid w:val="00E71EDB"/>
    <w:rsid w:val="00E71F17"/>
    <w:rsid w:val="00E723D3"/>
    <w:rsid w:val="00E7242A"/>
    <w:rsid w:val="00E72771"/>
    <w:rsid w:val="00E72ABE"/>
    <w:rsid w:val="00E72BCC"/>
    <w:rsid w:val="00E73268"/>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382"/>
    <w:rsid w:val="00E77655"/>
    <w:rsid w:val="00E8016D"/>
    <w:rsid w:val="00E802D0"/>
    <w:rsid w:val="00E810EC"/>
    <w:rsid w:val="00E8112C"/>
    <w:rsid w:val="00E81587"/>
    <w:rsid w:val="00E81645"/>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019"/>
    <w:rsid w:val="00E85204"/>
    <w:rsid w:val="00E853AC"/>
    <w:rsid w:val="00E85483"/>
    <w:rsid w:val="00E8548B"/>
    <w:rsid w:val="00E85703"/>
    <w:rsid w:val="00E85AED"/>
    <w:rsid w:val="00E85E7A"/>
    <w:rsid w:val="00E86057"/>
    <w:rsid w:val="00E861F7"/>
    <w:rsid w:val="00E86647"/>
    <w:rsid w:val="00E86BF7"/>
    <w:rsid w:val="00E87096"/>
    <w:rsid w:val="00E87182"/>
    <w:rsid w:val="00E879F0"/>
    <w:rsid w:val="00E87AE6"/>
    <w:rsid w:val="00E87BC7"/>
    <w:rsid w:val="00E87E23"/>
    <w:rsid w:val="00E90278"/>
    <w:rsid w:val="00E906F3"/>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5BAB"/>
    <w:rsid w:val="00E95CE2"/>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1CF3"/>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0A"/>
    <w:rsid w:val="00EA6D78"/>
    <w:rsid w:val="00EA6E29"/>
    <w:rsid w:val="00EA7721"/>
    <w:rsid w:val="00EA7B1C"/>
    <w:rsid w:val="00EA7CE6"/>
    <w:rsid w:val="00EA7E15"/>
    <w:rsid w:val="00EA7E9E"/>
    <w:rsid w:val="00EA7EA0"/>
    <w:rsid w:val="00EA7EF5"/>
    <w:rsid w:val="00EA7F1F"/>
    <w:rsid w:val="00EB05DC"/>
    <w:rsid w:val="00EB0650"/>
    <w:rsid w:val="00EB0CBA"/>
    <w:rsid w:val="00EB1304"/>
    <w:rsid w:val="00EB1705"/>
    <w:rsid w:val="00EB2023"/>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3EB"/>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10B"/>
    <w:rsid w:val="00EC28CD"/>
    <w:rsid w:val="00EC2C50"/>
    <w:rsid w:val="00EC2E21"/>
    <w:rsid w:val="00EC30FE"/>
    <w:rsid w:val="00EC36D3"/>
    <w:rsid w:val="00EC36DD"/>
    <w:rsid w:val="00EC3CA4"/>
    <w:rsid w:val="00EC3E81"/>
    <w:rsid w:val="00EC3EC8"/>
    <w:rsid w:val="00EC44E7"/>
    <w:rsid w:val="00EC4C4C"/>
    <w:rsid w:val="00EC4D77"/>
    <w:rsid w:val="00EC4D7B"/>
    <w:rsid w:val="00EC4E2E"/>
    <w:rsid w:val="00EC555C"/>
    <w:rsid w:val="00EC5F2B"/>
    <w:rsid w:val="00EC60A1"/>
    <w:rsid w:val="00EC614D"/>
    <w:rsid w:val="00EC6337"/>
    <w:rsid w:val="00EC6588"/>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C56"/>
    <w:rsid w:val="00ED3DA3"/>
    <w:rsid w:val="00ED40CC"/>
    <w:rsid w:val="00ED4834"/>
    <w:rsid w:val="00ED4DAA"/>
    <w:rsid w:val="00ED4DDF"/>
    <w:rsid w:val="00ED4EEA"/>
    <w:rsid w:val="00ED5122"/>
    <w:rsid w:val="00ED5300"/>
    <w:rsid w:val="00ED54F7"/>
    <w:rsid w:val="00ED58F2"/>
    <w:rsid w:val="00ED5A06"/>
    <w:rsid w:val="00ED5CB6"/>
    <w:rsid w:val="00ED6100"/>
    <w:rsid w:val="00ED6E4E"/>
    <w:rsid w:val="00ED6FAC"/>
    <w:rsid w:val="00ED7BAF"/>
    <w:rsid w:val="00EE0318"/>
    <w:rsid w:val="00EE04FF"/>
    <w:rsid w:val="00EE08BC"/>
    <w:rsid w:val="00EE0935"/>
    <w:rsid w:val="00EE09EA"/>
    <w:rsid w:val="00EE0A49"/>
    <w:rsid w:val="00EE0CA1"/>
    <w:rsid w:val="00EE15A8"/>
    <w:rsid w:val="00EE15CA"/>
    <w:rsid w:val="00EE18BB"/>
    <w:rsid w:val="00EE1938"/>
    <w:rsid w:val="00EE1CDA"/>
    <w:rsid w:val="00EE207C"/>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D0"/>
    <w:rsid w:val="00EF209D"/>
    <w:rsid w:val="00EF20FD"/>
    <w:rsid w:val="00EF2457"/>
    <w:rsid w:val="00EF2786"/>
    <w:rsid w:val="00EF28E6"/>
    <w:rsid w:val="00EF34C2"/>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6E2"/>
    <w:rsid w:val="00EF7878"/>
    <w:rsid w:val="00EF7F14"/>
    <w:rsid w:val="00EF7F47"/>
    <w:rsid w:val="00F000F0"/>
    <w:rsid w:val="00F00180"/>
    <w:rsid w:val="00F004AB"/>
    <w:rsid w:val="00F006E4"/>
    <w:rsid w:val="00F0086B"/>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3EDF"/>
    <w:rsid w:val="00F046FD"/>
    <w:rsid w:val="00F04D51"/>
    <w:rsid w:val="00F04D79"/>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2056"/>
    <w:rsid w:val="00F1281A"/>
    <w:rsid w:val="00F12B3D"/>
    <w:rsid w:val="00F13242"/>
    <w:rsid w:val="00F13555"/>
    <w:rsid w:val="00F1403E"/>
    <w:rsid w:val="00F140FE"/>
    <w:rsid w:val="00F1415B"/>
    <w:rsid w:val="00F14271"/>
    <w:rsid w:val="00F14605"/>
    <w:rsid w:val="00F14FB4"/>
    <w:rsid w:val="00F15C93"/>
    <w:rsid w:val="00F1604E"/>
    <w:rsid w:val="00F165FF"/>
    <w:rsid w:val="00F16BB1"/>
    <w:rsid w:val="00F175B3"/>
    <w:rsid w:val="00F17A8F"/>
    <w:rsid w:val="00F17D56"/>
    <w:rsid w:val="00F20046"/>
    <w:rsid w:val="00F20242"/>
    <w:rsid w:val="00F206FE"/>
    <w:rsid w:val="00F20A5E"/>
    <w:rsid w:val="00F20C7C"/>
    <w:rsid w:val="00F20D66"/>
    <w:rsid w:val="00F20EF1"/>
    <w:rsid w:val="00F20F5B"/>
    <w:rsid w:val="00F21048"/>
    <w:rsid w:val="00F210AB"/>
    <w:rsid w:val="00F2157F"/>
    <w:rsid w:val="00F21758"/>
    <w:rsid w:val="00F21857"/>
    <w:rsid w:val="00F218EF"/>
    <w:rsid w:val="00F21F61"/>
    <w:rsid w:val="00F22210"/>
    <w:rsid w:val="00F22444"/>
    <w:rsid w:val="00F2251F"/>
    <w:rsid w:val="00F225C1"/>
    <w:rsid w:val="00F22B7D"/>
    <w:rsid w:val="00F22C96"/>
    <w:rsid w:val="00F22FC1"/>
    <w:rsid w:val="00F23378"/>
    <w:rsid w:val="00F2357F"/>
    <w:rsid w:val="00F23933"/>
    <w:rsid w:val="00F23BD0"/>
    <w:rsid w:val="00F23D7A"/>
    <w:rsid w:val="00F23FCA"/>
    <w:rsid w:val="00F2456B"/>
    <w:rsid w:val="00F24A57"/>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7F3"/>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70D"/>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7A2"/>
    <w:rsid w:val="00F378E2"/>
    <w:rsid w:val="00F37922"/>
    <w:rsid w:val="00F37AEF"/>
    <w:rsid w:val="00F37BD8"/>
    <w:rsid w:val="00F37DC6"/>
    <w:rsid w:val="00F405C7"/>
    <w:rsid w:val="00F4125A"/>
    <w:rsid w:val="00F419D1"/>
    <w:rsid w:val="00F41D1F"/>
    <w:rsid w:val="00F42910"/>
    <w:rsid w:val="00F42C2B"/>
    <w:rsid w:val="00F43A8E"/>
    <w:rsid w:val="00F4416D"/>
    <w:rsid w:val="00F44833"/>
    <w:rsid w:val="00F45534"/>
    <w:rsid w:val="00F45747"/>
    <w:rsid w:val="00F458F5"/>
    <w:rsid w:val="00F45B82"/>
    <w:rsid w:val="00F46694"/>
    <w:rsid w:val="00F467B0"/>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6B"/>
    <w:rsid w:val="00F66AF7"/>
    <w:rsid w:val="00F672EB"/>
    <w:rsid w:val="00F6753C"/>
    <w:rsid w:val="00F67906"/>
    <w:rsid w:val="00F679D0"/>
    <w:rsid w:val="00F67A85"/>
    <w:rsid w:val="00F67D0D"/>
    <w:rsid w:val="00F70298"/>
    <w:rsid w:val="00F7063E"/>
    <w:rsid w:val="00F7081F"/>
    <w:rsid w:val="00F71026"/>
    <w:rsid w:val="00F71042"/>
    <w:rsid w:val="00F710A0"/>
    <w:rsid w:val="00F710D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7F9"/>
    <w:rsid w:val="00F7596A"/>
    <w:rsid w:val="00F75C0B"/>
    <w:rsid w:val="00F763DF"/>
    <w:rsid w:val="00F77028"/>
    <w:rsid w:val="00F77360"/>
    <w:rsid w:val="00F7792A"/>
    <w:rsid w:val="00F77C47"/>
    <w:rsid w:val="00F77CFA"/>
    <w:rsid w:val="00F802D3"/>
    <w:rsid w:val="00F80A32"/>
    <w:rsid w:val="00F80D8F"/>
    <w:rsid w:val="00F810D6"/>
    <w:rsid w:val="00F8116A"/>
    <w:rsid w:val="00F81311"/>
    <w:rsid w:val="00F81625"/>
    <w:rsid w:val="00F81A23"/>
    <w:rsid w:val="00F81A54"/>
    <w:rsid w:val="00F81E0E"/>
    <w:rsid w:val="00F81F25"/>
    <w:rsid w:val="00F820CA"/>
    <w:rsid w:val="00F821C0"/>
    <w:rsid w:val="00F82272"/>
    <w:rsid w:val="00F82368"/>
    <w:rsid w:val="00F825FF"/>
    <w:rsid w:val="00F82760"/>
    <w:rsid w:val="00F827D0"/>
    <w:rsid w:val="00F82A7D"/>
    <w:rsid w:val="00F82D8E"/>
    <w:rsid w:val="00F82E29"/>
    <w:rsid w:val="00F8317F"/>
    <w:rsid w:val="00F83301"/>
    <w:rsid w:val="00F837DD"/>
    <w:rsid w:val="00F83BFA"/>
    <w:rsid w:val="00F840FD"/>
    <w:rsid w:val="00F849D7"/>
    <w:rsid w:val="00F84A2F"/>
    <w:rsid w:val="00F84BAB"/>
    <w:rsid w:val="00F84D93"/>
    <w:rsid w:val="00F850EB"/>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3F22"/>
    <w:rsid w:val="00F94003"/>
    <w:rsid w:val="00F9458D"/>
    <w:rsid w:val="00F945E2"/>
    <w:rsid w:val="00F94737"/>
    <w:rsid w:val="00F9495D"/>
    <w:rsid w:val="00F94D8B"/>
    <w:rsid w:val="00F95013"/>
    <w:rsid w:val="00F951BD"/>
    <w:rsid w:val="00F952F1"/>
    <w:rsid w:val="00F9547F"/>
    <w:rsid w:val="00F9580F"/>
    <w:rsid w:val="00F95814"/>
    <w:rsid w:val="00F9590D"/>
    <w:rsid w:val="00F9604E"/>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3F6"/>
    <w:rsid w:val="00FA2526"/>
    <w:rsid w:val="00FA2AB0"/>
    <w:rsid w:val="00FA2C98"/>
    <w:rsid w:val="00FA3270"/>
    <w:rsid w:val="00FA33A2"/>
    <w:rsid w:val="00FA34B0"/>
    <w:rsid w:val="00FA36F5"/>
    <w:rsid w:val="00FA37F0"/>
    <w:rsid w:val="00FA3871"/>
    <w:rsid w:val="00FA3C84"/>
    <w:rsid w:val="00FA4131"/>
    <w:rsid w:val="00FA42F3"/>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929"/>
    <w:rsid w:val="00FA6A8C"/>
    <w:rsid w:val="00FA6EC7"/>
    <w:rsid w:val="00FA7081"/>
    <w:rsid w:val="00FA72C5"/>
    <w:rsid w:val="00FA7936"/>
    <w:rsid w:val="00FA7A20"/>
    <w:rsid w:val="00FA7AA6"/>
    <w:rsid w:val="00FA7B58"/>
    <w:rsid w:val="00FA7C04"/>
    <w:rsid w:val="00FA7DE7"/>
    <w:rsid w:val="00FB0443"/>
    <w:rsid w:val="00FB0540"/>
    <w:rsid w:val="00FB0BB6"/>
    <w:rsid w:val="00FB15D5"/>
    <w:rsid w:val="00FB18E8"/>
    <w:rsid w:val="00FB19D8"/>
    <w:rsid w:val="00FB1F61"/>
    <w:rsid w:val="00FB22E5"/>
    <w:rsid w:val="00FB2663"/>
    <w:rsid w:val="00FB2864"/>
    <w:rsid w:val="00FB2F94"/>
    <w:rsid w:val="00FB313A"/>
    <w:rsid w:val="00FB365F"/>
    <w:rsid w:val="00FB36D1"/>
    <w:rsid w:val="00FB3B8C"/>
    <w:rsid w:val="00FB3CD6"/>
    <w:rsid w:val="00FB3F57"/>
    <w:rsid w:val="00FB4065"/>
    <w:rsid w:val="00FB44C1"/>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AA0"/>
    <w:rsid w:val="00FC0AB4"/>
    <w:rsid w:val="00FC0B11"/>
    <w:rsid w:val="00FC0B9B"/>
    <w:rsid w:val="00FC0E12"/>
    <w:rsid w:val="00FC1190"/>
    <w:rsid w:val="00FC1533"/>
    <w:rsid w:val="00FC1859"/>
    <w:rsid w:val="00FC1AB5"/>
    <w:rsid w:val="00FC20A2"/>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361"/>
    <w:rsid w:val="00FC791E"/>
    <w:rsid w:val="00FC7F93"/>
    <w:rsid w:val="00FD06C1"/>
    <w:rsid w:val="00FD10D2"/>
    <w:rsid w:val="00FD116E"/>
    <w:rsid w:val="00FD1407"/>
    <w:rsid w:val="00FD1643"/>
    <w:rsid w:val="00FD235B"/>
    <w:rsid w:val="00FD2804"/>
    <w:rsid w:val="00FD282A"/>
    <w:rsid w:val="00FD2A71"/>
    <w:rsid w:val="00FD2BDC"/>
    <w:rsid w:val="00FD3124"/>
    <w:rsid w:val="00FD36CF"/>
    <w:rsid w:val="00FD3905"/>
    <w:rsid w:val="00FD3AE8"/>
    <w:rsid w:val="00FD4005"/>
    <w:rsid w:val="00FD4272"/>
    <w:rsid w:val="00FD4342"/>
    <w:rsid w:val="00FD441E"/>
    <w:rsid w:val="00FD45BB"/>
    <w:rsid w:val="00FD4CC0"/>
    <w:rsid w:val="00FD4FEB"/>
    <w:rsid w:val="00FD526F"/>
    <w:rsid w:val="00FD5999"/>
    <w:rsid w:val="00FD6318"/>
    <w:rsid w:val="00FD6A3D"/>
    <w:rsid w:val="00FD6D21"/>
    <w:rsid w:val="00FD6F9D"/>
    <w:rsid w:val="00FD72D9"/>
    <w:rsid w:val="00FD73AE"/>
    <w:rsid w:val="00FD7D6B"/>
    <w:rsid w:val="00FE00DC"/>
    <w:rsid w:val="00FE03B5"/>
    <w:rsid w:val="00FE0477"/>
    <w:rsid w:val="00FE0657"/>
    <w:rsid w:val="00FE0769"/>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0DD"/>
    <w:rsid w:val="00FE64A7"/>
    <w:rsid w:val="00FE65DB"/>
    <w:rsid w:val="00FE6B91"/>
    <w:rsid w:val="00FE6DEC"/>
    <w:rsid w:val="00FE74E2"/>
    <w:rsid w:val="00FE74FC"/>
    <w:rsid w:val="00FE760B"/>
    <w:rsid w:val="00FE761D"/>
    <w:rsid w:val="00FE76FA"/>
    <w:rsid w:val="00FE7A09"/>
    <w:rsid w:val="00FE7AAD"/>
    <w:rsid w:val="00FE7FE6"/>
    <w:rsid w:val="00FF01C5"/>
    <w:rsid w:val="00FF0224"/>
    <w:rsid w:val="00FF0289"/>
    <w:rsid w:val="00FF02D6"/>
    <w:rsid w:val="00FF0679"/>
    <w:rsid w:val="00FF0895"/>
    <w:rsid w:val="00FF089D"/>
    <w:rsid w:val="00FF0BBB"/>
    <w:rsid w:val="00FF1455"/>
    <w:rsid w:val="00FF1716"/>
    <w:rsid w:val="00FF1920"/>
    <w:rsid w:val="00FF1ACF"/>
    <w:rsid w:val="00FF202C"/>
    <w:rsid w:val="00FF2A88"/>
    <w:rsid w:val="00FF37C5"/>
    <w:rsid w:val="00FF3A12"/>
    <w:rsid w:val="00FF3A5A"/>
    <w:rsid w:val="00FF3CFC"/>
    <w:rsid w:val="00FF43AF"/>
    <w:rsid w:val="00FF48E0"/>
    <w:rsid w:val="00FF5026"/>
    <w:rsid w:val="00FF5173"/>
    <w:rsid w:val="00FF51D0"/>
    <w:rsid w:val="00FF52CC"/>
    <w:rsid w:val="00FF52E3"/>
    <w:rsid w:val="00FF5D1A"/>
    <w:rsid w:val="00FF609A"/>
    <w:rsid w:val="00FF625E"/>
    <w:rsid w:val="00FF6A5A"/>
    <w:rsid w:val="00FF6CF6"/>
    <w:rsid w:val="00FF7090"/>
    <w:rsid w:val="00FF70CF"/>
    <w:rsid w:val="00FF728F"/>
    <w:rsid w:val="00FF72A3"/>
    <w:rsid w:val="00FF74BE"/>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link w:val="TAHCar"/>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rsid w:val="00AA32EC"/>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character" w:customStyle="1" w:styleId="B1Zchn">
    <w:name w:val="B1 Zchn"/>
    <w:link w:val="B1"/>
    <w:rsid w:val="007D06D3"/>
    <w:rPr>
      <w:rFonts w:ascii="Times New Roman" w:hAnsi="Times New Roman"/>
      <w:lang w:eastAsia="en-US"/>
    </w:rPr>
  </w:style>
  <w:style w:type="character" w:customStyle="1" w:styleId="TAHCar">
    <w:name w:val="TAH Car"/>
    <w:link w:val="TAH"/>
    <w:rsid w:val="00B847F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417899">
      <w:bodyDiv w:val="1"/>
      <w:marLeft w:val="0"/>
      <w:marRight w:val="0"/>
      <w:marTop w:val="0"/>
      <w:marBottom w:val="0"/>
      <w:divBdr>
        <w:top w:val="none" w:sz="0" w:space="0" w:color="auto"/>
        <w:left w:val="none" w:sz="0" w:space="0" w:color="auto"/>
        <w:bottom w:val="none" w:sz="0" w:space="0" w:color="auto"/>
        <w:right w:val="none" w:sz="0" w:space="0" w:color="auto"/>
      </w:divBdr>
      <w:divsChild>
        <w:div w:id="898900926">
          <w:marLeft w:val="547"/>
          <w:marRight w:val="0"/>
          <w:marTop w:val="115"/>
          <w:marBottom w:val="0"/>
          <w:divBdr>
            <w:top w:val="none" w:sz="0" w:space="0" w:color="auto"/>
            <w:left w:val="none" w:sz="0" w:space="0" w:color="auto"/>
            <w:bottom w:val="none" w:sz="0" w:space="0" w:color="auto"/>
            <w:right w:val="none" w:sz="0" w:space="0" w:color="auto"/>
          </w:divBdr>
        </w:div>
        <w:div w:id="213540130">
          <w:marLeft w:val="1166"/>
          <w:marRight w:val="0"/>
          <w:marTop w:val="86"/>
          <w:marBottom w:val="0"/>
          <w:divBdr>
            <w:top w:val="none" w:sz="0" w:space="0" w:color="auto"/>
            <w:left w:val="none" w:sz="0" w:space="0" w:color="auto"/>
            <w:bottom w:val="none" w:sz="0" w:space="0" w:color="auto"/>
            <w:right w:val="none" w:sz="0" w:space="0" w:color="auto"/>
          </w:divBdr>
        </w:div>
        <w:div w:id="739517454">
          <w:marLeft w:val="1627"/>
          <w:marRight w:val="0"/>
          <w:marTop w:val="77"/>
          <w:marBottom w:val="0"/>
          <w:divBdr>
            <w:top w:val="none" w:sz="0" w:space="0" w:color="auto"/>
            <w:left w:val="none" w:sz="0" w:space="0" w:color="auto"/>
            <w:bottom w:val="none" w:sz="0" w:space="0" w:color="auto"/>
            <w:right w:val="none" w:sz="0" w:space="0" w:color="auto"/>
          </w:divBdr>
        </w:div>
        <w:div w:id="87043126">
          <w:marLeft w:val="1627"/>
          <w:marRight w:val="0"/>
          <w:marTop w:val="77"/>
          <w:marBottom w:val="0"/>
          <w:divBdr>
            <w:top w:val="none" w:sz="0" w:space="0" w:color="auto"/>
            <w:left w:val="none" w:sz="0" w:space="0" w:color="auto"/>
            <w:bottom w:val="none" w:sz="0" w:space="0" w:color="auto"/>
            <w:right w:val="none" w:sz="0" w:space="0" w:color="auto"/>
          </w:divBdr>
        </w:div>
        <w:div w:id="1298295088">
          <w:marLeft w:val="1627"/>
          <w:marRight w:val="0"/>
          <w:marTop w:val="77"/>
          <w:marBottom w:val="0"/>
          <w:divBdr>
            <w:top w:val="none" w:sz="0" w:space="0" w:color="auto"/>
            <w:left w:val="none" w:sz="0" w:space="0" w:color="auto"/>
            <w:bottom w:val="none" w:sz="0" w:space="0" w:color="auto"/>
            <w:right w:val="none" w:sz="0" w:space="0" w:color="auto"/>
          </w:divBdr>
        </w:div>
        <w:div w:id="118307057">
          <w:marLeft w:val="547"/>
          <w:marRight w:val="0"/>
          <w:marTop w:val="115"/>
          <w:marBottom w:val="0"/>
          <w:divBdr>
            <w:top w:val="none" w:sz="0" w:space="0" w:color="auto"/>
            <w:left w:val="none" w:sz="0" w:space="0" w:color="auto"/>
            <w:bottom w:val="none" w:sz="0" w:space="0" w:color="auto"/>
            <w:right w:val="none" w:sz="0" w:space="0" w:color="auto"/>
          </w:divBdr>
        </w:div>
        <w:div w:id="1916626171">
          <w:marLeft w:val="1166"/>
          <w:marRight w:val="0"/>
          <w:marTop w:val="86"/>
          <w:marBottom w:val="0"/>
          <w:divBdr>
            <w:top w:val="none" w:sz="0" w:space="0" w:color="auto"/>
            <w:left w:val="none" w:sz="0" w:space="0" w:color="auto"/>
            <w:bottom w:val="none" w:sz="0" w:space="0" w:color="auto"/>
            <w:right w:val="none" w:sz="0" w:space="0" w:color="auto"/>
          </w:divBdr>
        </w:div>
      </w:divsChild>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0722439">
      <w:bodyDiv w:val="1"/>
      <w:marLeft w:val="0"/>
      <w:marRight w:val="0"/>
      <w:marTop w:val="0"/>
      <w:marBottom w:val="0"/>
      <w:divBdr>
        <w:top w:val="none" w:sz="0" w:space="0" w:color="auto"/>
        <w:left w:val="none" w:sz="0" w:space="0" w:color="auto"/>
        <w:bottom w:val="none" w:sz="0" w:space="0" w:color="auto"/>
        <w:right w:val="none" w:sz="0" w:space="0" w:color="auto"/>
      </w:divBdr>
      <w:divsChild>
        <w:div w:id="654072110">
          <w:marLeft w:val="547"/>
          <w:marRight w:val="0"/>
          <w:marTop w:val="115"/>
          <w:marBottom w:val="0"/>
          <w:divBdr>
            <w:top w:val="none" w:sz="0" w:space="0" w:color="auto"/>
            <w:left w:val="none" w:sz="0" w:space="0" w:color="auto"/>
            <w:bottom w:val="none" w:sz="0" w:space="0" w:color="auto"/>
            <w:right w:val="none" w:sz="0" w:space="0" w:color="auto"/>
          </w:divBdr>
        </w:div>
        <w:div w:id="556013330">
          <w:marLeft w:val="1166"/>
          <w:marRight w:val="0"/>
          <w:marTop w:val="96"/>
          <w:marBottom w:val="0"/>
          <w:divBdr>
            <w:top w:val="none" w:sz="0" w:space="0" w:color="auto"/>
            <w:left w:val="none" w:sz="0" w:space="0" w:color="auto"/>
            <w:bottom w:val="none" w:sz="0" w:space="0" w:color="auto"/>
            <w:right w:val="none" w:sz="0" w:space="0" w:color="auto"/>
          </w:divBdr>
        </w:div>
        <w:div w:id="857962249">
          <w:marLeft w:val="547"/>
          <w:marRight w:val="0"/>
          <w:marTop w:val="115"/>
          <w:marBottom w:val="0"/>
          <w:divBdr>
            <w:top w:val="none" w:sz="0" w:space="0" w:color="auto"/>
            <w:left w:val="none" w:sz="0" w:space="0" w:color="auto"/>
            <w:bottom w:val="none" w:sz="0" w:space="0" w:color="auto"/>
            <w:right w:val="none" w:sz="0" w:space="0" w:color="auto"/>
          </w:divBdr>
        </w:div>
        <w:div w:id="1444812682">
          <w:marLeft w:val="1166"/>
          <w:marRight w:val="0"/>
          <w:marTop w:val="96"/>
          <w:marBottom w:val="0"/>
          <w:divBdr>
            <w:top w:val="none" w:sz="0" w:space="0" w:color="auto"/>
            <w:left w:val="none" w:sz="0" w:space="0" w:color="auto"/>
            <w:bottom w:val="none" w:sz="0" w:space="0" w:color="auto"/>
            <w:right w:val="none" w:sz="0" w:space="0" w:color="auto"/>
          </w:divBdr>
        </w:div>
        <w:div w:id="445276360">
          <w:marLeft w:val="1166"/>
          <w:marRight w:val="0"/>
          <w:marTop w:val="96"/>
          <w:marBottom w:val="0"/>
          <w:divBdr>
            <w:top w:val="none" w:sz="0" w:space="0" w:color="auto"/>
            <w:left w:val="none" w:sz="0" w:space="0" w:color="auto"/>
            <w:bottom w:val="none" w:sz="0" w:space="0" w:color="auto"/>
            <w:right w:val="none" w:sz="0" w:space="0" w:color="auto"/>
          </w:divBdr>
        </w:div>
        <w:div w:id="913245378">
          <w:marLeft w:val="1627"/>
          <w:marRight w:val="0"/>
          <w:marTop w:val="86"/>
          <w:marBottom w:val="0"/>
          <w:divBdr>
            <w:top w:val="none" w:sz="0" w:space="0" w:color="auto"/>
            <w:left w:val="none" w:sz="0" w:space="0" w:color="auto"/>
            <w:bottom w:val="none" w:sz="0" w:space="0" w:color="auto"/>
            <w:right w:val="none" w:sz="0" w:space="0" w:color="auto"/>
          </w:divBdr>
        </w:div>
        <w:div w:id="1010720078">
          <w:marLeft w:val="1627"/>
          <w:marRight w:val="0"/>
          <w:marTop w:val="86"/>
          <w:marBottom w:val="0"/>
          <w:divBdr>
            <w:top w:val="none" w:sz="0" w:space="0" w:color="auto"/>
            <w:left w:val="none" w:sz="0" w:space="0" w:color="auto"/>
            <w:bottom w:val="none" w:sz="0" w:space="0" w:color="auto"/>
            <w:right w:val="none" w:sz="0" w:space="0" w:color="auto"/>
          </w:divBdr>
        </w:div>
        <w:div w:id="136998650">
          <w:marLeft w:val="1166"/>
          <w:marRight w:val="0"/>
          <w:marTop w:val="9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67062846">
      <w:bodyDiv w:val="1"/>
      <w:marLeft w:val="0"/>
      <w:marRight w:val="0"/>
      <w:marTop w:val="0"/>
      <w:marBottom w:val="0"/>
      <w:divBdr>
        <w:top w:val="none" w:sz="0" w:space="0" w:color="auto"/>
        <w:left w:val="none" w:sz="0" w:space="0" w:color="auto"/>
        <w:bottom w:val="none" w:sz="0" w:space="0" w:color="auto"/>
        <w:right w:val="none" w:sz="0" w:space="0" w:color="auto"/>
      </w:divBdr>
      <w:divsChild>
        <w:div w:id="1742941348">
          <w:marLeft w:val="547"/>
          <w:marRight w:val="0"/>
          <w:marTop w:val="67"/>
          <w:marBottom w:val="0"/>
          <w:divBdr>
            <w:top w:val="none" w:sz="0" w:space="0" w:color="auto"/>
            <w:left w:val="none" w:sz="0" w:space="0" w:color="auto"/>
            <w:bottom w:val="none" w:sz="0" w:space="0" w:color="auto"/>
            <w:right w:val="none" w:sz="0" w:space="0" w:color="auto"/>
          </w:divBdr>
        </w:div>
        <w:div w:id="1174881365">
          <w:marLeft w:val="547"/>
          <w:marRight w:val="0"/>
          <w:marTop w:val="67"/>
          <w:marBottom w:val="0"/>
          <w:divBdr>
            <w:top w:val="none" w:sz="0" w:space="0" w:color="auto"/>
            <w:left w:val="none" w:sz="0" w:space="0" w:color="auto"/>
            <w:bottom w:val="none" w:sz="0" w:space="0" w:color="auto"/>
            <w:right w:val="none" w:sz="0" w:space="0" w:color="auto"/>
          </w:divBdr>
        </w:div>
        <w:div w:id="38476122">
          <w:marLeft w:val="547"/>
          <w:marRight w:val="0"/>
          <w:marTop w:val="67"/>
          <w:marBottom w:val="0"/>
          <w:divBdr>
            <w:top w:val="none" w:sz="0" w:space="0" w:color="auto"/>
            <w:left w:val="none" w:sz="0" w:space="0" w:color="auto"/>
            <w:bottom w:val="none" w:sz="0" w:space="0" w:color="auto"/>
            <w:right w:val="none" w:sz="0" w:space="0" w:color="auto"/>
          </w:divBdr>
        </w:div>
        <w:div w:id="1292440999">
          <w:marLeft w:val="1166"/>
          <w:marRight w:val="0"/>
          <w:marTop w:val="58"/>
          <w:marBottom w:val="0"/>
          <w:divBdr>
            <w:top w:val="none" w:sz="0" w:space="0" w:color="auto"/>
            <w:left w:val="none" w:sz="0" w:space="0" w:color="auto"/>
            <w:bottom w:val="none" w:sz="0" w:space="0" w:color="auto"/>
            <w:right w:val="none" w:sz="0" w:space="0" w:color="auto"/>
          </w:divBdr>
        </w:div>
        <w:div w:id="410470716">
          <w:marLeft w:val="1166"/>
          <w:marRight w:val="0"/>
          <w:marTop w:val="58"/>
          <w:marBottom w:val="0"/>
          <w:divBdr>
            <w:top w:val="none" w:sz="0" w:space="0" w:color="auto"/>
            <w:left w:val="none" w:sz="0" w:space="0" w:color="auto"/>
            <w:bottom w:val="none" w:sz="0" w:space="0" w:color="auto"/>
            <w:right w:val="none" w:sz="0" w:space="0" w:color="auto"/>
          </w:divBdr>
        </w:div>
        <w:div w:id="388506017">
          <w:marLeft w:val="1166"/>
          <w:marRight w:val="0"/>
          <w:marTop w:val="58"/>
          <w:marBottom w:val="0"/>
          <w:divBdr>
            <w:top w:val="none" w:sz="0" w:space="0" w:color="auto"/>
            <w:left w:val="none" w:sz="0" w:space="0" w:color="auto"/>
            <w:bottom w:val="none" w:sz="0" w:space="0" w:color="auto"/>
            <w:right w:val="none" w:sz="0" w:space="0" w:color="auto"/>
          </w:divBdr>
        </w:div>
        <w:div w:id="419522511">
          <w:marLeft w:val="1166"/>
          <w:marRight w:val="0"/>
          <w:marTop w:val="58"/>
          <w:marBottom w:val="0"/>
          <w:divBdr>
            <w:top w:val="none" w:sz="0" w:space="0" w:color="auto"/>
            <w:left w:val="none" w:sz="0" w:space="0" w:color="auto"/>
            <w:bottom w:val="none" w:sz="0" w:space="0" w:color="auto"/>
            <w:right w:val="none" w:sz="0" w:space="0" w:color="auto"/>
          </w:divBdr>
        </w:div>
        <w:div w:id="1388190373">
          <w:marLeft w:val="1166"/>
          <w:marRight w:val="0"/>
          <w:marTop w:val="58"/>
          <w:marBottom w:val="0"/>
          <w:divBdr>
            <w:top w:val="none" w:sz="0" w:space="0" w:color="auto"/>
            <w:left w:val="none" w:sz="0" w:space="0" w:color="auto"/>
            <w:bottom w:val="none" w:sz="0" w:space="0" w:color="auto"/>
            <w:right w:val="none" w:sz="0" w:space="0" w:color="auto"/>
          </w:divBdr>
        </w:div>
        <w:div w:id="742530349">
          <w:marLeft w:val="1166"/>
          <w:marRight w:val="0"/>
          <w:marTop w:val="58"/>
          <w:marBottom w:val="0"/>
          <w:divBdr>
            <w:top w:val="none" w:sz="0" w:space="0" w:color="auto"/>
            <w:left w:val="none" w:sz="0" w:space="0" w:color="auto"/>
            <w:bottom w:val="none" w:sz="0" w:space="0" w:color="auto"/>
            <w:right w:val="none" w:sz="0" w:space="0" w:color="auto"/>
          </w:divBdr>
        </w:div>
        <w:div w:id="814108556">
          <w:marLeft w:val="1166"/>
          <w:marRight w:val="0"/>
          <w:marTop w:val="58"/>
          <w:marBottom w:val="0"/>
          <w:divBdr>
            <w:top w:val="none" w:sz="0" w:space="0" w:color="auto"/>
            <w:left w:val="none" w:sz="0" w:space="0" w:color="auto"/>
            <w:bottom w:val="none" w:sz="0" w:space="0" w:color="auto"/>
            <w:right w:val="none" w:sz="0" w:space="0" w:color="auto"/>
          </w:divBdr>
        </w:div>
        <w:div w:id="1511526203">
          <w:marLeft w:val="1166"/>
          <w:marRight w:val="0"/>
          <w:marTop w:val="58"/>
          <w:marBottom w:val="0"/>
          <w:divBdr>
            <w:top w:val="none" w:sz="0" w:space="0" w:color="auto"/>
            <w:left w:val="none" w:sz="0" w:space="0" w:color="auto"/>
            <w:bottom w:val="none" w:sz="0" w:space="0" w:color="auto"/>
            <w:right w:val="none" w:sz="0" w:space="0" w:color="auto"/>
          </w:divBdr>
        </w:div>
        <w:div w:id="1366173414">
          <w:marLeft w:val="1166"/>
          <w:marRight w:val="0"/>
          <w:marTop w:val="58"/>
          <w:marBottom w:val="0"/>
          <w:divBdr>
            <w:top w:val="none" w:sz="0" w:space="0" w:color="auto"/>
            <w:left w:val="none" w:sz="0" w:space="0" w:color="auto"/>
            <w:bottom w:val="none" w:sz="0" w:space="0" w:color="auto"/>
            <w:right w:val="none" w:sz="0" w:space="0" w:color="auto"/>
          </w:divBdr>
        </w:div>
        <w:div w:id="2111704109">
          <w:marLeft w:val="547"/>
          <w:marRight w:val="0"/>
          <w:marTop w:val="67"/>
          <w:marBottom w:val="0"/>
          <w:divBdr>
            <w:top w:val="none" w:sz="0" w:space="0" w:color="auto"/>
            <w:left w:val="none" w:sz="0" w:space="0" w:color="auto"/>
            <w:bottom w:val="none" w:sz="0" w:space="0" w:color="auto"/>
            <w:right w:val="none" w:sz="0" w:space="0" w:color="auto"/>
          </w:divBdr>
        </w:div>
        <w:div w:id="1759330069">
          <w:marLeft w:val="1166"/>
          <w:marRight w:val="0"/>
          <w:marTop w:val="58"/>
          <w:marBottom w:val="0"/>
          <w:divBdr>
            <w:top w:val="none" w:sz="0" w:space="0" w:color="auto"/>
            <w:left w:val="none" w:sz="0" w:space="0" w:color="auto"/>
            <w:bottom w:val="none" w:sz="0" w:space="0" w:color="auto"/>
            <w:right w:val="none" w:sz="0" w:space="0" w:color="auto"/>
          </w:divBdr>
        </w:div>
        <w:div w:id="1520654998">
          <w:marLeft w:val="1166"/>
          <w:marRight w:val="0"/>
          <w:marTop w:val="58"/>
          <w:marBottom w:val="0"/>
          <w:divBdr>
            <w:top w:val="none" w:sz="0" w:space="0" w:color="auto"/>
            <w:left w:val="none" w:sz="0" w:space="0" w:color="auto"/>
            <w:bottom w:val="none" w:sz="0" w:space="0" w:color="auto"/>
            <w:right w:val="none" w:sz="0" w:space="0" w:color="auto"/>
          </w:divBdr>
        </w:div>
        <w:div w:id="502862899">
          <w:marLeft w:val="1166"/>
          <w:marRight w:val="0"/>
          <w:marTop w:val="58"/>
          <w:marBottom w:val="0"/>
          <w:divBdr>
            <w:top w:val="none" w:sz="0" w:space="0" w:color="auto"/>
            <w:left w:val="none" w:sz="0" w:space="0" w:color="auto"/>
            <w:bottom w:val="none" w:sz="0" w:space="0" w:color="auto"/>
            <w:right w:val="none" w:sz="0" w:space="0" w:color="auto"/>
          </w:divBdr>
        </w:div>
        <w:div w:id="998537690">
          <w:marLeft w:val="1627"/>
          <w:marRight w:val="0"/>
          <w:marTop w:val="53"/>
          <w:marBottom w:val="0"/>
          <w:divBdr>
            <w:top w:val="none" w:sz="0" w:space="0" w:color="auto"/>
            <w:left w:val="none" w:sz="0" w:space="0" w:color="auto"/>
            <w:bottom w:val="none" w:sz="0" w:space="0" w:color="auto"/>
            <w:right w:val="none" w:sz="0" w:space="0" w:color="auto"/>
          </w:divBdr>
        </w:div>
        <w:div w:id="2092388868">
          <w:marLeft w:val="1627"/>
          <w:marRight w:val="0"/>
          <w:marTop w:val="53"/>
          <w:marBottom w:val="0"/>
          <w:divBdr>
            <w:top w:val="none" w:sz="0" w:space="0" w:color="auto"/>
            <w:left w:val="none" w:sz="0" w:space="0" w:color="auto"/>
            <w:bottom w:val="none" w:sz="0" w:space="0" w:color="auto"/>
            <w:right w:val="none" w:sz="0" w:space="0" w:color="auto"/>
          </w:divBdr>
        </w:div>
        <w:div w:id="1461460823">
          <w:marLeft w:val="1166"/>
          <w:marRight w:val="0"/>
          <w:marTop w:val="58"/>
          <w:marBottom w:val="0"/>
          <w:divBdr>
            <w:top w:val="none" w:sz="0" w:space="0" w:color="auto"/>
            <w:left w:val="none" w:sz="0" w:space="0" w:color="auto"/>
            <w:bottom w:val="none" w:sz="0" w:space="0" w:color="auto"/>
            <w:right w:val="none" w:sz="0" w:space="0" w:color="auto"/>
          </w:divBdr>
        </w:div>
        <w:div w:id="170485387">
          <w:marLeft w:val="1627"/>
          <w:marRight w:val="0"/>
          <w:marTop w:val="53"/>
          <w:marBottom w:val="0"/>
          <w:divBdr>
            <w:top w:val="none" w:sz="0" w:space="0" w:color="auto"/>
            <w:left w:val="none" w:sz="0" w:space="0" w:color="auto"/>
            <w:bottom w:val="none" w:sz="0" w:space="0" w:color="auto"/>
            <w:right w:val="none" w:sz="0" w:space="0" w:color="auto"/>
          </w:divBdr>
        </w:div>
        <w:div w:id="2133360551">
          <w:marLeft w:val="1627"/>
          <w:marRight w:val="0"/>
          <w:marTop w:val="53"/>
          <w:marBottom w:val="0"/>
          <w:divBdr>
            <w:top w:val="none" w:sz="0" w:space="0" w:color="auto"/>
            <w:left w:val="none" w:sz="0" w:space="0" w:color="auto"/>
            <w:bottom w:val="none" w:sz="0" w:space="0" w:color="auto"/>
            <w:right w:val="none" w:sz="0" w:space="0" w:color="auto"/>
          </w:divBdr>
        </w:div>
        <w:div w:id="136460974">
          <w:marLeft w:val="1627"/>
          <w:marRight w:val="0"/>
          <w:marTop w:val="53"/>
          <w:marBottom w:val="0"/>
          <w:divBdr>
            <w:top w:val="none" w:sz="0" w:space="0" w:color="auto"/>
            <w:left w:val="none" w:sz="0" w:space="0" w:color="auto"/>
            <w:bottom w:val="none" w:sz="0" w:space="0" w:color="auto"/>
            <w:right w:val="none" w:sz="0" w:space="0" w:color="auto"/>
          </w:divBdr>
        </w:div>
        <w:div w:id="1057821566">
          <w:marLeft w:val="1166"/>
          <w:marRight w:val="0"/>
          <w:marTop w:val="58"/>
          <w:marBottom w:val="0"/>
          <w:divBdr>
            <w:top w:val="none" w:sz="0" w:space="0" w:color="auto"/>
            <w:left w:val="none" w:sz="0" w:space="0" w:color="auto"/>
            <w:bottom w:val="none" w:sz="0" w:space="0" w:color="auto"/>
            <w:right w:val="none" w:sz="0" w:space="0" w:color="auto"/>
          </w:divBdr>
        </w:div>
        <w:div w:id="767770957">
          <w:marLeft w:val="547"/>
          <w:marRight w:val="0"/>
          <w:marTop w:val="67"/>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3217185">
      <w:bodyDiv w:val="1"/>
      <w:marLeft w:val="0"/>
      <w:marRight w:val="0"/>
      <w:marTop w:val="0"/>
      <w:marBottom w:val="0"/>
      <w:divBdr>
        <w:top w:val="none" w:sz="0" w:space="0" w:color="auto"/>
        <w:left w:val="none" w:sz="0" w:space="0" w:color="auto"/>
        <w:bottom w:val="none" w:sz="0" w:space="0" w:color="auto"/>
        <w:right w:val="none" w:sz="0" w:space="0" w:color="auto"/>
      </w:divBdr>
      <w:divsChild>
        <w:div w:id="1135755913">
          <w:marLeft w:val="54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04526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3724093">
      <w:bodyDiv w:val="1"/>
      <w:marLeft w:val="0"/>
      <w:marRight w:val="0"/>
      <w:marTop w:val="0"/>
      <w:marBottom w:val="0"/>
      <w:divBdr>
        <w:top w:val="none" w:sz="0" w:space="0" w:color="auto"/>
        <w:left w:val="none" w:sz="0" w:space="0" w:color="auto"/>
        <w:bottom w:val="none" w:sz="0" w:space="0" w:color="auto"/>
        <w:right w:val="none" w:sz="0" w:space="0" w:color="auto"/>
      </w:divBdr>
      <w:divsChild>
        <w:div w:id="1093432060">
          <w:marLeft w:val="547"/>
          <w:marRight w:val="0"/>
          <w:marTop w:val="96"/>
          <w:marBottom w:val="0"/>
          <w:divBdr>
            <w:top w:val="none" w:sz="0" w:space="0" w:color="auto"/>
            <w:left w:val="none" w:sz="0" w:space="0" w:color="auto"/>
            <w:bottom w:val="none" w:sz="0" w:space="0" w:color="auto"/>
            <w:right w:val="none" w:sz="0" w:space="0" w:color="auto"/>
          </w:divBdr>
        </w:div>
        <w:div w:id="248538217">
          <w:marLeft w:val="1166"/>
          <w:marRight w:val="0"/>
          <w:marTop w:val="86"/>
          <w:marBottom w:val="0"/>
          <w:divBdr>
            <w:top w:val="none" w:sz="0" w:space="0" w:color="auto"/>
            <w:left w:val="none" w:sz="0" w:space="0" w:color="auto"/>
            <w:bottom w:val="none" w:sz="0" w:space="0" w:color="auto"/>
            <w:right w:val="none" w:sz="0" w:space="0" w:color="auto"/>
          </w:divBdr>
        </w:div>
        <w:div w:id="661782827">
          <w:marLeft w:val="1166"/>
          <w:marRight w:val="0"/>
          <w:marTop w:val="86"/>
          <w:marBottom w:val="0"/>
          <w:divBdr>
            <w:top w:val="none" w:sz="0" w:space="0" w:color="auto"/>
            <w:left w:val="none" w:sz="0" w:space="0" w:color="auto"/>
            <w:bottom w:val="none" w:sz="0" w:space="0" w:color="auto"/>
            <w:right w:val="none" w:sz="0" w:space="0" w:color="auto"/>
          </w:divBdr>
        </w:div>
        <w:div w:id="360208311">
          <w:marLeft w:val="1166"/>
          <w:marRight w:val="0"/>
          <w:marTop w:val="86"/>
          <w:marBottom w:val="0"/>
          <w:divBdr>
            <w:top w:val="none" w:sz="0" w:space="0" w:color="auto"/>
            <w:left w:val="none" w:sz="0" w:space="0" w:color="auto"/>
            <w:bottom w:val="none" w:sz="0" w:space="0" w:color="auto"/>
            <w:right w:val="none" w:sz="0" w:space="0" w:color="auto"/>
          </w:divBdr>
        </w:div>
        <w:div w:id="435102039">
          <w:marLeft w:val="1627"/>
          <w:marRight w:val="0"/>
          <w:marTop w:val="77"/>
          <w:marBottom w:val="0"/>
          <w:divBdr>
            <w:top w:val="none" w:sz="0" w:space="0" w:color="auto"/>
            <w:left w:val="none" w:sz="0" w:space="0" w:color="auto"/>
            <w:bottom w:val="none" w:sz="0" w:space="0" w:color="auto"/>
            <w:right w:val="none" w:sz="0" w:space="0" w:color="auto"/>
          </w:divBdr>
        </w:div>
        <w:div w:id="1284724335">
          <w:marLeft w:val="2074"/>
          <w:marRight w:val="0"/>
          <w:marTop w:val="67"/>
          <w:marBottom w:val="0"/>
          <w:divBdr>
            <w:top w:val="none" w:sz="0" w:space="0" w:color="auto"/>
            <w:left w:val="none" w:sz="0" w:space="0" w:color="auto"/>
            <w:bottom w:val="none" w:sz="0" w:space="0" w:color="auto"/>
            <w:right w:val="none" w:sz="0" w:space="0" w:color="auto"/>
          </w:divBdr>
        </w:div>
        <w:div w:id="2046905905">
          <w:marLeft w:val="1166"/>
          <w:marRight w:val="0"/>
          <w:marTop w:val="8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07303">
      <w:bodyDiv w:val="1"/>
      <w:marLeft w:val="0"/>
      <w:marRight w:val="0"/>
      <w:marTop w:val="0"/>
      <w:marBottom w:val="0"/>
      <w:divBdr>
        <w:top w:val="none" w:sz="0" w:space="0" w:color="auto"/>
        <w:left w:val="none" w:sz="0" w:space="0" w:color="auto"/>
        <w:bottom w:val="none" w:sz="0" w:space="0" w:color="auto"/>
        <w:right w:val="none" w:sz="0" w:space="0" w:color="auto"/>
      </w:divBdr>
      <w:divsChild>
        <w:div w:id="1913200214">
          <w:marLeft w:val="547"/>
          <w:marRight w:val="0"/>
          <w:marTop w:val="77"/>
          <w:marBottom w:val="0"/>
          <w:divBdr>
            <w:top w:val="none" w:sz="0" w:space="0" w:color="auto"/>
            <w:left w:val="none" w:sz="0" w:space="0" w:color="auto"/>
            <w:bottom w:val="none" w:sz="0" w:space="0" w:color="auto"/>
            <w:right w:val="none" w:sz="0" w:space="0" w:color="auto"/>
          </w:divBdr>
        </w:div>
        <w:div w:id="1461219644">
          <w:marLeft w:val="1166"/>
          <w:marRight w:val="0"/>
          <w:marTop w:val="67"/>
          <w:marBottom w:val="0"/>
          <w:divBdr>
            <w:top w:val="none" w:sz="0" w:space="0" w:color="auto"/>
            <w:left w:val="none" w:sz="0" w:space="0" w:color="auto"/>
            <w:bottom w:val="none" w:sz="0" w:space="0" w:color="auto"/>
            <w:right w:val="none" w:sz="0" w:space="0" w:color="auto"/>
          </w:divBdr>
        </w:div>
        <w:div w:id="315376569">
          <w:marLeft w:val="1166"/>
          <w:marRight w:val="0"/>
          <w:marTop w:val="67"/>
          <w:marBottom w:val="0"/>
          <w:divBdr>
            <w:top w:val="none" w:sz="0" w:space="0" w:color="auto"/>
            <w:left w:val="none" w:sz="0" w:space="0" w:color="auto"/>
            <w:bottom w:val="none" w:sz="0" w:space="0" w:color="auto"/>
            <w:right w:val="none" w:sz="0" w:space="0" w:color="auto"/>
          </w:divBdr>
        </w:div>
        <w:div w:id="94332848">
          <w:marLeft w:val="1627"/>
          <w:marRight w:val="0"/>
          <w:marTop w:val="58"/>
          <w:marBottom w:val="0"/>
          <w:divBdr>
            <w:top w:val="none" w:sz="0" w:space="0" w:color="auto"/>
            <w:left w:val="none" w:sz="0" w:space="0" w:color="auto"/>
            <w:bottom w:val="none" w:sz="0" w:space="0" w:color="auto"/>
            <w:right w:val="none" w:sz="0" w:space="0" w:color="auto"/>
          </w:divBdr>
        </w:div>
        <w:div w:id="984699258">
          <w:marLeft w:val="1627"/>
          <w:marRight w:val="0"/>
          <w:marTop w:val="58"/>
          <w:marBottom w:val="0"/>
          <w:divBdr>
            <w:top w:val="none" w:sz="0" w:space="0" w:color="auto"/>
            <w:left w:val="none" w:sz="0" w:space="0" w:color="auto"/>
            <w:bottom w:val="none" w:sz="0" w:space="0" w:color="auto"/>
            <w:right w:val="none" w:sz="0" w:space="0" w:color="auto"/>
          </w:divBdr>
        </w:div>
        <w:div w:id="353074757">
          <w:marLeft w:val="1627"/>
          <w:marRight w:val="0"/>
          <w:marTop w:val="58"/>
          <w:marBottom w:val="0"/>
          <w:divBdr>
            <w:top w:val="none" w:sz="0" w:space="0" w:color="auto"/>
            <w:left w:val="none" w:sz="0" w:space="0" w:color="auto"/>
            <w:bottom w:val="none" w:sz="0" w:space="0" w:color="auto"/>
            <w:right w:val="none" w:sz="0" w:space="0" w:color="auto"/>
          </w:divBdr>
        </w:div>
        <w:div w:id="1396661954">
          <w:marLeft w:val="1166"/>
          <w:marRight w:val="0"/>
          <w:marTop w:val="67"/>
          <w:marBottom w:val="0"/>
          <w:divBdr>
            <w:top w:val="none" w:sz="0" w:space="0" w:color="auto"/>
            <w:left w:val="none" w:sz="0" w:space="0" w:color="auto"/>
            <w:bottom w:val="none" w:sz="0" w:space="0" w:color="auto"/>
            <w:right w:val="none" w:sz="0" w:space="0" w:color="auto"/>
          </w:divBdr>
        </w:div>
        <w:div w:id="561450054">
          <w:marLeft w:val="1627"/>
          <w:marRight w:val="0"/>
          <w:marTop w:val="58"/>
          <w:marBottom w:val="0"/>
          <w:divBdr>
            <w:top w:val="none" w:sz="0" w:space="0" w:color="auto"/>
            <w:left w:val="none" w:sz="0" w:space="0" w:color="auto"/>
            <w:bottom w:val="none" w:sz="0" w:space="0" w:color="auto"/>
            <w:right w:val="none" w:sz="0" w:space="0" w:color="auto"/>
          </w:divBdr>
        </w:div>
        <w:div w:id="1221482361">
          <w:marLeft w:val="1627"/>
          <w:marRight w:val="0"/>
          <w:marTop w:val="58"/>
          <w:marBottom w:val="0"/>
          <w:divBdr>
            <w:top w:val="none" w:sz="0" w:space="0" w:color="auto"/>
            <w:left w:val="none" w:sz="0" w:space="0" w:color="auto"/>
            <w:bottom w:val="none" w:sz="0" w:space="0" w:color="auto"/>
            <w:right w:val="none" w:sz="0" w:space="0" w:color="auto"/>
          </w:divBdr>
        </w:div>
        <w:div w:id="1475677889">
          <w:marLeft w:val="1627"/>
          <w:marRight w:val="0"/>
          <w:marTop w:val="58"/>
          <w:marBottom w:val="0"/>
          <w:divBdr>
            <w:top w:val="none" w:sz="0" w:space="0" w:color="auto"/>
            <w:left w:val="none" w:sz="0" w:space="0" w:color="auto"/>
            <w:bottom w:val="none" w:sz="0" w:space="0" w:color="auto"/>
            <w:right w:val="none" w:sz="0" w:space="0" w:color="auto"/>
          </w:divBdr>
        </w:div>
        <w:div w:id="1765302453">
          <w:marLeft w:val="1627"/>
          <w:marRight w:val="0"/>
          <w:marTop w:val="58"/>
          <w:marBottom w:val="0"/>
          <w:divBdr>
            <w:top w:val="none" w:sz="0" w:space="0" w:color="auto"/>
            <w:left w:val="none" w:sz="0" w:space="0" w:color="auto"/>
            <w:bottom w:val="none" w:sz="0" w:space="0" w:color="auto"/>
            <w:right w:val="none" w:sz="0" w:space="0" w:color="auto"/>
          </w:divBdr>
        </w:div>
        <w:div w:id="733046416">
          <w:marLeft w:val="1627"/>
          <w:marRight w:val="0"/>
          <w:marTop w:val="58"/>
          <w:marBottom w:val="0"/>
          <w:divBdr>
            <w:top w:val="none" w:sz="0" w:space="0" w:color="auto"/>
            <w:left w:val="none" w:sz="0" w:space="0" w:color="auto"/>
            <w:bottom w:val="none" w:sz="0" w:space="0" w:color="auto"/>
            <w:right w:val="none" w:sz="0" w:space="0" w:color="auto"/>
          </w:divBdr>
        </w:div>
        <w:div w:id="1611161067">
          <w:marLeft w:val="1627"/>
          <w:marRight w:val="0"/>
          <w:marTop w:val="58"/>
          <w:marBottom w:val="0"/>
          <w:divBdr>
            <w:top w:val="none" w:sz="0" w:space="0" w:color="auto"/>
            <w:left w:val="none" w:sz="0" w:space="0" w:color="auto"/>
            <w:bottom w:val="none" w:sz="0" w:space="0" w:color="auto"/>
            <w:right w:val="none" w:sz="0" w:space="0" w:color="auto"/>
          </w:divBdr>
        </w:div>
        <w:div w:id="425077763">
          <w:marLeft w:val="1627"/>
          <w:marRight w:val="0"/>
          <w:marTop w:val="58"/>
          <w:marBottom w:val="0"/>
          <w:divBdr>
            <w:top w:val="none" w:sz="0" w:space="0" w:color="auto"/>
            <w:left w:val="none" w:sz="0" w:space="0" w:color="auto"/>
            <w:bottom w:val="none" w:sz="0" w:space="0" w:color="auto"/>
            <w:right w:val="none" w:sz="0" w:space="0" w:color="auto"/>
          </w:divBdr>
        </w:div>
        <w:div w:id="1245335901">
          <w:marLeft w:val="1627"/>
          <w:marRight w:val="0"/>
          <w:marTop w:val="58"/>
          <w:marBottom w:val="0"/>
          <w:divBdr>
            <w:top w:val="none" w:sz="0" w:space="0" w:color="auto"/>
            <w:left w:val="none" w:sz="0" w:space="0" w:color="auto"/>
            <w:bottom w:val="none" w:sz="0" w:space="0" w:color="auto"/>
            <w:right w:val="none" w:sz="0" w:space="0" w:color="auto"/>
          </w:divBdr>
        </w:div>
        <w:div w:id="861892218">
          <w:marLeft w:val="1627"/>
          <w:marRight w:val="0"/>
          <w:marTop w:val="58"/>
          <w:marBottom w:val="0"/>
          <w:divBdr>
            <w:top w:val="none" w:sz="0" w:space="0" w:color="auto"/>
            <w:left w:val="none" w:sz="0" w:space="0" w:color="auto"/>
            <w:bottom w:val="none" w:sz="0" w:space="0" w:color="auto"/>
            <w:right w:val="none" w:sz="0" w:space="0" w:color="auto"/>
          </w:divBdr>
        </w:div>
        <w:div w:id="701444738">
          <w:marLeft w:val="1627"/>
          <w:marRight w:val="0"/>
          <w:marTop w:val="58"/>
          <w:marBottom w:val="0"/>
          <w:divBdr>
            <w:top w:val="none" w:sz="0" w:space="0" w:color="auto"/>
            <w:left w:val="none" w:sz="0" w:space="0" w:color="auto"/>
            <w:bottom w:val="none" w:sz="0" w:space="0" w:color="auto"/>
            <w:right w:val="none" w:sz="0" w:space="0" w:color="auto"/>
          </w:divBdr>
        </w:div>
        <w:div w:id="644354696">
          <w:marLeft w:val="1627"/>
          <w:marRight w:val="0"/>
          <w:marTop w:val="58"/>
          <w:marBottom w:val="0"/>
          <w:divBdr>
            <w:top w:val="none" w:sz="0" w:space="0" w:color="auto"/>
            <w:left w:val="none" w:sz="0" w:space="0" w:color="auto"/>
            <w:bottom w:val="none" w:sz="0" w:space="0" w:color="auto"/>
            <w:right w:val="none" w:sz="0" w:space="0" w:color="auto"/>
          </w:divBdr>
        </w:div>
        <w:div w:id="487135741">
          <w:marLeft w:val="1627"/>
          <w:marRight w:val="0"/>
          <w:marTop w:val="58"/>
          <w:marBottom w:val="0"/>
          <w:divBdr>
            <w:top w:val="none" w:sz="0" w:space="0" w:color="auto"/>
            <w:left w:val="none" w:sz="0" w:space="0" w:color="auto"/>
            <w:bottom w:val="none" w:sz="0" w:space="0" w:color="auto"/>
            <w:right w:val="none" w:sz="0" w:space="0" w:color="auto"/>
          </w:divBdr>
        </w:div>
        <w:div w:id="979840519">
          <w:marLeft w:val="1627"/>
          <w:marRight w:val="0"/>
          <w:marTop w:val="58"/>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678146062">
      <w:bodyDiv w:val="1"/>
      <w:marLeft w:val="0"/>
      <w:marRight w:val="0"/>
      <w:marTop w:val="0"/>
      <w:marBottom w:val="0"/>
      <w:divBdr>
        <w:top w:val="none" w:sz="0" w:space="0" w:color="auto"/>
        <w:left w:val="none" w:sz="0" w:space="0" w:color="auto"/>
        <w:bottom w:val="none" w:sz="0" w:space="0" w:color="auto"/>
        <w:right w:val="none" w:sz="0" w:space="0" w:color="auto"/>
      </w:divBdr>
      <w:divsChild>
        <w:div w:id="1069305071">
          <w:marLeft w:val="547"/>
          <w:marRight w:val="0"/>
          <w:marTop w:val="115"/>
          <w:marBottom w:val="0"/>
          <w:divBdr>
            <w:top w:val="none" w:sz="0" w:space="0" w:color="auto"/>
            <w:left w:val="none" w:sz="0" w:space="0" w:color="auto"/>
            <w:bottom w:val="none" w:sz="0" w:space="0" w:color="auto"/>
            <w:right w:val="none" w:sz="0" w:space="0" w:color="auto"/>
          </w:divBdr>
        </w:div>
        <w:div w:id="319624696">
          <w:marLeft w:val="547"/>
          <w:marRight w:val="0"/>
          <w:marTop w:val="96"/>
          <w:marBottom w:val="0"/>
          <w:divBdr>
            <w:top w:val="none" w:sz="0" w:space="0" w:color="auto"/>
            <w:left w:val="none" w:sz="0" w:space="0" w:color="auto"/>
            <w:bottom w:val="none" w:sz="0" w:space="0" w:color="auto"/>
            <w:right w:val="none" w:sz="0" w:space="0" w:color="auto"/>
          </w:divBdr>
        </w:div>
        <w:div w:id="2120566973">
          <w:marLeft w:val="1166"/>
          <w:marRight w:val="0"/>
          <w:marTop w:val="96"/>
          <w:marBottom w:val="0"/>
          <w:divBdr>
            <w:top w:val="none" w:sz="0" w:space="0" w:color="auto"/>
            <w:left w:val="none" w:sz="0" w:space="0" w:color="auto"/>
            <w:bottom w:val="none" w:sz="0" w:space="0" w:color="auto"/>
            <w:right w:val="none" w:sz="0" w:space="0" w:color="auto"/>
          </w:divBdr>
        </w:div>
        <w:div w:id="1239286476">
          <w:marLeft w:val="1627"/>
          <w:marRight w:val="0"/>
          <w:marTop w:val="86"/>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2060274">
      <w:bodyDiv w:val="1"/>
      <w:marLeft w:val="0"/>
      <w:marRight w:val="0"/>
      <w:marTop w:val="0"/>
      <w:marBottom w:val="0"/>
      <w:divBdr>
        <w:top w:val="none" w:sz="0" w:space="0" w:color="auto"/>
        <w:left w:val="none" w:sz="0" w:space="0" w:color="auto"/>
        <w:bottom w:val="none" w:sz="0" w:space="0" w:color="auto"/>
        <w:right w:val="none" w:sz="0" w:space="0" w:color="auto"/>
      </w:divBdr>
      <w:divsChild>
        <w:div w:id="2013412657">
          <w:marLeft w:val="547"/>
          <w:marRight w:val="0"/>
          <w:marTop w:val="96"/>
          <w:marBottom w:val="0"/>
          <w:divBdr>
            <w:top w:val="none" w:sz="0" w:space="0" w:color="auto"/>
            <w:left w:val="none" w:sz="0" w:space="0" w:color="auto"/>
            <w:bottom w:val="none" w:sz="0" w:space="0" w:color="auto"/>
            <w:right w:val="none" w:sz="0" w:space="0" w:color="auto"/>
          </w:divBdr>
        </w:div>
        <w:div w:id="2008171701">
          <w:marLeft w:val="1166"/>
          <w:marRight w:val="0"/>
          <w:marTop w:val="86"/>
          <w:marBottom w:val="0"/>
          <w:divBdr>
            <w:top w:val="none" w:sz="0" w:space="0" w:color="auto"/>
            <w:left w:val="none" w:sz="0" w:space="0" w:color="auto"/>
            <w:bottom w:val="none" w:sz="0" w:space="0" w:color="auto"/>
            <w:right w:val="none" w:sz="0" w:space="0" w:color="auto"/>
          </w:divBdr>
        </w:div>
        <w:div w:id="679745320">
          <w:marLeft w:val="1627"/>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7778123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208077">
      <w:bodyDiv w:val="1"/>
      <w:marLeft w:val="0"/>
      <w:marRight w:val="0"/>
      <w:marTop w:val="0"/>
      <w:marBottom w:val="0"/>
      <w:divBdr>
        <w:top w:val="none" w:sz="0" w:space="0" w:color="auto"/>
        <w:left w:val="none" w:sz="0" w:space="0" w:color="auto"/>
        <w:bottom w:val="none" w:sz="0" w:space="0" w:color="auto"/>
        <w:right w:val="none" w:sz="0" w:space="0" w:color="auto"/>
      </w:divBdr>
      <w:divsChild>
        <w:div w:id="319507005">
          <w:marLeft w:val="547"/>
          <w:marRight w:val="0"/>
          <w:marTop w:val="96"/>
          <w:marBottom w:val="0"/>
          <w:divBdr>
            <w:top w:val="none" w:sz="0" w:space="0" w:color="auto"/>
            <w:left w:val="none" w:sz="0" w:space="0" w:color="auto"/>
            <w:bottom w:val="none" w:sz="0" w:space="0" w:color="auto"/>
            <w:right w:val="none" w:sz="0" w:space="0" w:color="auto"/>
          </w:divBdr>
        </w:div>
        <w:div w:id="1738211497">
          <w:marLeft w:val="1166"/>
          <w:marRight w:val="0"/>
          <w:marTop w:val="77"/>
          <w:marBottom w:val="0"/>
          <w:divBdr>
            <w:top w:val="none" w:sz="0" w:space="0" w:color="auto"/>
            <w:left w:val="none" w:sz="0" w:space="0" w:color="auto"/>
            <w:bottom w:val="none" w:sz="0" w:space="0" w:color="auto"/>
            <w:right w:val="none" w:sz="0" w:space="0" w:color="auto"/>
          </w:divBdr>
        </w:div>
        <w:div w:id="1411075561">
          <w:marLeft w:val="1627"/>
          <w:marRight w:val="0"/>
          <w:marTop w:val="67"/>
          <w:marBottom w:val="0"/>
          <w:divBdr>
            <w:top w:val="none" w:sz="0" w:space="0" w:color="auto"/>
            <w:left w:val="none" w:sz="0" w:space="0" w:color="auto"/>
            <w:bottom w:val="none" w:sz="0" w:space="0" w:color="auto"/>
            <w:right w:val="none" w:sz="0" w:space="0" w:color="auto"/>
          </w:divBdr>
        </w:div>
        <w:div w:id="297730685">
          <w:marLeft w:val="1627"/>
          <w:marRight w:val="0"/>
          <w:marTop w:val="67"/>
          <w:marBottom w:val="0"/>
          <w:divBdr>
            <w:top w:val="none" w:sz="0" w:space="0" w:color="auto"/>
            <w:left w:val="none" w:sz="0" w:space="0" w:color="auto"/>
            <w:bottom w:val="none" w:sz="0" w:space="0" w:color="auto"/>
            <w:right w:val="none" w:sz="0" w:space="0" w:color="auto"/>
          </w:divBdr>
        </w:div>
        <w:div w:id="1504052984">
          <w:marLeft w:val="1627"/>
          <w:marRight w:val="0"/>
          <w:marTop w:val="67"/>
          <w:marBottom w:val="0"/>
          <w:divBdr>
            <w:top w:val="none" w:sz="0" w:space="0" w:color="auto"/>
            <w:left w:val="none" w:sz="0" w:space="0" w:color="auto"/>
            <w:bottom w:val="none" w:sz="0" w:space="0" w:color="auto"/>
            <w:right w:val="none" w:sz="0" w:space="0" w:color="auto"/>
          </w:divBdr>
        </w:div>
        <w:div w:id="2014406781">
          <w:marLeft w:val="1627"/>
          <w:marRight w:val="0"/>
          <w:marTop w:val="67"/>
          <w:marBottom w:val="0"/>
          <w:divBdr>
            <w:top w:val="none" w:sz="0" w:space="0" w:color="auto"/>
            <w:left w:val="none" w:sz="0" w:space="0" w:color="auto"/>
            <w:bottom w:val="none" w:sz="0" w:space="0" w:color="auto"/>
            <w:right w:val="none" w:sz="0" w:space="0" w:color="auto"/>
          </w:divBdr>
        </w:div>
        <w:div w:id="165169506">
          <w:marLeft w:val="547"/>
          <w:marRight w:val="0"/>
          <w:marTop w:val="96"/>
          <w:marBottom w:val="0"/>
          <w:divBdr>
            <w:top w:val="none" w:sz="0" w:space="0" w:color="auto"/>
            <w:left w:val="none" w:sz="0" w:space="0" w:color="auto"/>
            <w:bottom w:val="none" w:sz="0" w:space="0" w:color="auto"/>
            <w:right w:val="none" w:sz="0" w:space="0" w:color="auto"/>
          </w:divBdr>
        </w:div>
        <w:div w:id="763309823">
          <w:marLeft w:val="1166"/>
          <w:marRight w:val="0"/>
          <w:marTop w:val="77"/>
          <w:marBottom w:val="0"/>
          <w:divBdr>
            <w:top w:val="none" w:sz="0" w:space="0" w:color="auto"/>
            <w:left w:val="none" w:sz="0" w:space="0" w:color="auto"/>
            <w:bottom w:val="none" w:sz="0" w:space="0" w:color="auto"/>
            <w:right w:val="none" w:sz="0" w:space="0" w:color="auto"/>
          </w:divBdr>
        </w:div>
        <w:div w:id="1058630923">
          <w:marLeft w:val="1627"/>
          <w:marRight w:val="0"/>
          <w:marTop w:val="67"/>
          <w:marBottom w:val="0"/>
          <w:divBdr>
            <w:top w:val="none" w:sz="0" w:space="0" w:color="auto"/>
            <w:left w:val="none" w:sz="0" w:space="0" w:color="auto"/>
            <w:bottom w:val="none" w:sz="0" w:space="0" w:color="auto"/>
            <w:right w:val="none" w:sz="0" w:space="0" w:color="auto"/>
          </w:divBdr>
        </w:div>
        <w:div w:id="1122456289">
          <w:marLeft w:val="1627"/>
          <w:marRight w:val="0"/>
          <w:marTop w:val="67"/>
          <w:marBottom w:val="0"/>
          <w:divBdr>
            <w:top w:val="none" w:sz="0" w:space="0" w:color="auto"/>
            <w:left w:val="none" w:sz="0" w:space="0" w:color="auto"/>
            <w:bottom w:val="none" w:sz="0" w:space="0" w:color="auto"/>
            <w:right w:val="none" w:sz="0" w:space="0" w:color="auto"/>
          </w:divBdr>
        </w:div>
        <w:div w:id="571351743">
          <w:marLeft w:val="1627"/>
          <w:marRight w:val="0"/>
          <w:marTop w:val="67"/>
          <w:marBottom w:val="0"/>
          <w:divBdr>
            <w:top w:val="none" w:sz="0" w:space="0" w:color="auto"/>
            <w:left w:val="none" w:sz="0" w:space="0" w:color="auto"/>
            <w:bottom w:val="none" w:sz="0" w:space="0" w:color="auto"/>
            <w:right w:val="none" w:sz="0" w:space="0" w:color="auto"/>
          </w:divBdr>
        </w:div>
        <w:div w:id="713039869">
          <w:marLeft w:val="1627"/>
          <w:marRight w:val="0"/>
          <w:marTop w:val="67"/>
          <w:marBottom w:val="0"/>
          <w:divBdr>
            <w:top w:val="none" w:sz="0" w:space="0" w:color="auto"/>
            <w:left w:val="none" w:sz="0" w:space="0" w:color="auto"/>
            <w:bottom w:val="none" w:sz="0" w:space="0" w:color="auto"/>
            <w:right w:val="none" w:sz="0" w:space="0" w:color="auto"/>
          </w:divBdr>
        </w:div>
        <w:div w:id="463930676">
          <w:marLeft w:val="1627"/>
          <w:marRight w:val="0"/>
          <w:marTop w:val="67"/>
          <w:marBottom w:val="0"/>
          <w:divBdr>
            <w:top w:val="none" w:sz="0" w:space="0" w:color="auto"/>
            <w:left w:val="none" w:sz="0" w:space="0" w:color="auto"/>
            <w:bottom w:val="none" w:sz="0" w:space="0" w:color="auto"/>
            <w:right w:val="none" w:sz="0" w:space="0" w:color="auto"/>
          </w:divBdr>
        </w:div>
        <w:div w:id="1436554857">
          <w:marLeft w:val="547"/>
          <w:marRight w:val="0"/>
          <w:marTop w:val="96"/>
          <w:marBottom w:val="0"/>
          <w:divBdr>
            <w:top w:val="none" w:sz="0" w:space="0" w:color="auto"/>
            <w:left w:val="none" w:sz="0" w:space="0" w:color="auto"/>
            <w:bottom w:val="none" w:sz="0" w:space="0" w:color="auto"/>
            <w:right w:val="none" w:sz="0" w:space="0" w:color="auto"/>
          </w:divBdr>
        </w:div>
        <w:div w:id="1735196972">
          <w:marLeft w:val="1166"/>
          <w:marRight w:val="0"/>
          <w:marTop w:val="77"/>
          <w:marBottom w:val="0"/>
          <w:divBdr>
            <w:top w:val="none" w:sz="0" w:space="0" w:color="auto"/>
            <w:left w:val="none" w:sz="0" w:space="0" w:color="auto"/>
            <w:bottom w:val="none" w:sz="0" w:space="0" w:color="auto"/>
            <w:right w:val="none" w:sz="0" w:space="0" w:color="auto"/>
          </w:divBdr>
        </w:div>
        <w:div w:id="135684676">
          <w:marLeft w:val="1627"/>
          <w:marRight w:val="0"/>
          <w:marTop w:val="67"/>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8" ma:contentTypeDescription="Create a new document." ma:contentTypeScope="" ma:versionID="085e58710a7820f6bbfa91683253f7b3">
  <xsd:schema xmlns:xsd="http://www.w3.org/2001/XMLSchema" xmlns:xs="http://www.w3.org/2001/XMLSchema" xmlns:p="http://schemas.microsoft.com/office/2006/metadata/properties" xmlns:ns3="bcc01d59-85de-4ef9-881e-76d8b6a6f841" targetNamespace="http://schemas.microsoft.com/office/2006/metadata/properties" ma:root="true" ma:fieldsID="a904194e579a0d7ae8e676a1428f1ac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A1AFFFF3-ADCD-4CED-890F-82E85B8B8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A0BC21-63C5-4543-9649-9AEA1F782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11</Pages>
  <Words>4491</Words>
  <Characters>25603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TSG-RAN WG1 #96bis</vt:lpstr>
    </vt:vector>
  </TitlesOfParts>
  <Company>Qualcomm Inc.</Company>
  <LinksUpToDate>false</LinksUpToDate>
  <CharactersWithSpaces>30034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#96bis</dc:title>
  <dc:subject/>
  <dc:creator>jsundara</dc:creator>
  <cp:keywords/>
  <dc:description/>
  <cp:lastModifiedBy>Kianoush Hosseini</cp:lastModifiedBy>
  <cp:revision>2</cp:revision>
  <cp:lastPrinted>2014-11-07T05:38:00Z</cp:lastPrinted>
  <dcterms:created xsi:type="dcterms:W3CDTF">2019-11-09T03:40:00Z</dcterms:created>
  <dcterms:modified xsi:type="dcterms:W3CDTF">2019-11-09T03:40:00Z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4241839f-18f5-44db-9112-a572c69ffd5c</vt:lpwstr>
  </property>
  <property fmtid="{D5CDD505-2E9C-101B-9397-08002B2CF9AE}" pid="3" name="ContentTypeId">
    <vt:lpwstr>0x0101004257954231A76C44B0D04C9AEE4292A8</vt:lpwstr>
  </property>
  <property fmtid="{D5CDD505-2E9C-101B-9397-08002B2CF9AE}" pid="4" name="_NewReviewCycle">
    <vt:lpwstr/>
  </property>
  <property fmtid="{D5CDD505-2E9C-101B-9397-08002B2CF9AE}" pid="5" name="_AdHocReviewCycleID">
    <vt:i4>-777978497</vt:i4>
  </property>
  <property fmtid="{D5CDD505-2E9C-101B-9397-08002B2CF9AE}" pid="6" name="_EmailSubject">
    <vt:lpwstr>[change subj] 5g.ran1 and SP for NR ran1</vt:lpwstr>
  </property>
  <property fmtid="{D5CDD505-2E9C-101B-9397-08002B2CF9AE}" pid="7" name="_AuthorEmail">
    <vt:lpwstr>mostafak@qti.qualcomm.com</vt:lpwstr>
  </property>
  <property fmtid="{D5CDD505-2E9C-101B-9397-08002B2CF9AE}" pid="8" name="_AuthorEmailDisplayName">
    <vt:lpwstr>Mostafa Khoshnevisan</vt:lpwstr>
  </property>
  <property fmtid="{D5CDD505-2E9C-101B-9397-08002B2CF9AE}" pid="9" name="_ReviewingToolsShownOnce">
    <vt:lpwstr/>
  </property>
</Properties>
</file>